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jc w:val="center"/>
        <w:rPr>
          <w:rFonts w:ascii="Arial" w:hAnsi="Arial" w:cs="Arial"/>
          <w:b/>
        </w:rPr>
      </w:pPr>
      <w:bookmarkStart w:id="0" w:name="_GoBack"/>
      <w:bookmarkEnd w:id="0"/>
      <w:r>
        <w:rPr>
          <w:rFonts w:ascii="Arial" w:hAnsi="Arial" w:cs="Arial"/>
          <w:b/>
        </w:rPr>
        <w:t>PART III - STATUS OF IMPLEMENTATION OF PRIOR YEAR’S AUDIT RECOMMENDATIONS</w:t>
      </w:r>
    </w:p>
    <w:p>
      <w:pPr>
        <w:spacing w:after="0" w:line="240" w:lineRule="auto"/>
        <w:jc w:val="both"/>
        <w:rPr>
          <w:rFonts w:ascii="Arial" w:hAnsi="Arial" w:cs="Arial"/>
          <w:b/>
        </w:rPr>
      </w:pPr>
    </w:p>
    <w:p>
      <w:pPr>
        <w:spacing w:after="0" w:line="240" w:lineRule="auto"/>
        <w:ind w:right="-180"/>
        <w:jc w:val="both"/>
        <w:rPr>
          <w:rFonts w:ascii="Arial" w:hAnsi="Arial" w:cs="Arial"/>
        </w:rPr>
      </w:pPr>
      <w:r>
        <w:rPr>
          <w:rFonts w:ascii="Arial" w:hAnsi="Arial" w:cs="Arial"/>
        </w:rPr>
        <w:t>Out of the 24 audit recommendations embodied in the previous year’s Annual Audit Report (AAR), two were implemented, 18 were partially implemented and four were not implemented. Details as follows:</w:t>
      </w:r>
    </w:p>
    <w:p>
      <w:pPr>
        <w:spacing w:after="0" w:line="240" w:lineRule="auto"/>
        <w:ind w:right="-180"/>
        <w:jc w:val="both"/>
        <w:rPr>
          <w:rFonts w:ascii="Arial" w:hAnsi="Arial" w:cs="Arial"/>
        </w:rPr>
      </w:pPr>
    </w:p>
    <w:tbl>
      <w:tblPr>
        <w:tblW w:w="9450" w:type="dxa"/>
        <w:tblInd w:w="108" w:type="dxa"/>
        <w:tblLayout w:type="fixed"/>
        <w:tblLook w:val="04A0" w:firstRow="1" w:lastRow="0" w:firstColumn="1" w:lastColumn="0" w:noHBand="0" w:noVBand="1"/>
      </w:tblPr>
      <w:tblGrid>
        <w:gridCol w:w="1507"/>
        <w:gridCol w:w="2993"/>
        <w:gridCol w:w="3047"/>
        <w:gridCol w:w="1903"/>
      </w:tblGrid>
      <w:tr>
        <w:trPr>
          <w:trHeight w:val="300"/>
          <w:tblHeader/>
        </w:trPr>
        <w:tc>
          <w:tcPr>
            <w:tcW w:w="1507" w:type="dxa"/>
            <w:tcBorders>
              <w:top w:val="single" w:sz="4" w:space="0" w:color="auto"/>
              <w:bottom w:val="single" w:sz="4" w:space="0" w:color="auto"/>
            </w:tcBorders>
            <w:shd w:val="clear" w:color="auto" w:fill="auto"/>
            <w:noWrap/>
            <w:hideMark/>
          </w:tcPr>
          <w:p>
            <w:pPr>
              <w:suppressAutoHyphens w:val="0"/>
              <w:spacing w:after="0" w:line="240" w:lineRule="auto"/>
              <w:ind w:right="-41" w:hanging="108"/>
              <w:jc w:val="center"/>
              <w:rPr>
                <w:rFonts w:ascii="Arial" w:eastAsia="Times New Roman" w:hAnsi="Arial" w:cs="Arial"/>
                <w:b/>
                <w:bCs/>
                <w:lang w:eastAsia="en-US"/>
              </w:rPr>
            </w:pPr>
            <w:r>
              <w:rPr>
                <w:rFonts w:ascii="Arial" w:hAnsi="Arial" w:cs="Arial"/>
                <w:b/>
                <w:bCs/>
              </w:rPr>
              <w:t>REFERENCE</w:t>
            </w:r>
          </w:p>
        </w:tc>
        <w:tc>
          <w:tcPr>
            <w:tcW w:w="2993" w:type="dxa"/>
            <w:tcBorders>
              <w:top w:val="single" w:sz="4" w:space="0" w:color="auto"/>
              <w:bottom w:val="single" w:sz="4" w:space="0" w:color="auto"/>
            </w:tcBorders>
            <w:shd w:val="clear" w:color="auto" w:fill="auto"/>
          </w:tcPr>
          <w:p>
            <w:pPr>
              <w:suppressAutoHyphens w:val="0"/>
              <w:spacing w:after="0" w:line="240" w:lineRule="auto"/>
              <w:ind w:right="-288"/>
              <w:jc w:val="center"/>
              <w:rPr>
                <w:rFonts w:ascii="Arial" w:eastAsia="Times New Roman" w:hAnsi="Arial" w:cs="Arial"/>
                <w:b/>
                <w:bCs/>
                <w:lang w:eastAsia="en-US"/>
              </w:rPr>
            </w:pPr>
            <w:r>
              <w:rPr>
                <w:rFonts w:ascii="Arial" w:hAnsi="Arial" w:cs="Arial"/>
                <w:b/>
                <w:bCs/>
              </w:rPr>
              <w:t>OBSERVATIONS</w:t>
            </w:r>
          </w:p>
        </w:tc>
        <w:tc>
          <w:tcPr>
            <w:tcW w:w="3047" w:type="dxa"/>
            <w:tcBorders>
              <w:top w:val="single" w:sz="4" w:space="0" w:color="auto"/>
              <w:bottom w:val="single" w:sz="4" w:space="0" w:color="auto"/>
            </w:tcBorders>
            <w:shd w:val="clear" w:color="auto" w:fill="auto"/>
          </w:tcPr>
          <w:p>
            <w:pPr>
              <w:suppressAutoHyphens w:val="0"/>
              <w:spacing w:after="0" w:line="240" w:lineRule="auto"/>
              <w:jc w:val="center"/>
              <w:rPr>
                <w:rFonts w:ascii="Arial" w:eastAsia="Times New Roman" w:hAnsi="Arial" w:cs="Arial"/>
                <w:b/>
                <w:bCs/>
                <w:lang w:eastAsia="en-US"/>
              </w:rPr>
            </w:pPr>
            <w:r>
              <w:rPr>
                <w:rFonts w:ascii="Arial" w:hAnsi="Arial" w:cs="Arial"/>
                <w:b/>
                <w:bCs/>
              </w:rPr>
              <w:t>RECOMMENDATIONS</w:t>
            </w:r>
          </w:p>
        </w:tc>
        <w:tc>
          <w:tcPr>
            <w:tcW w:w="1903" w:type="dxa"/>
            <w:tcBorders>
              <w:top w:val="single" w:sz="4" w:space="0" w:color="auto"/>
              <w:bottom w:val="single" w:sz="4" w:space="0" w:color="auto"/>
            </w:tcBorders>
            <w:shd w:val="clear" w:color="auto" w:fill="auto"/>
          </w:tcPr>
          <w:p>
            <w:pPr>
              <w:suppressAutoHyphens w:val="0"/>
              <w:spacing w:after="0" w:line="240" w:lineRule="auto"/>
              <w:jc w:val="center"/>
              <w:rPr>
                <w:rFonts w:ascii="Arial" w:eastAsia="Times New Roman" w:hAnsi="Arial" w:cs="Arial"/>
                <w:b/>
                <w:bCs/>
                <w:lang w:eastAsia="en-US"/>
              </w:rPr>
            </w:pPr>
            <w:r>
              <w:rPr>
                <w:rFonts w:ascii="Arial" w:hAnsi="Arial" w:cs="Arial"/>
                <w:b/>
                <w:bCs/>
              </w:rPr>
              <w:t>ACTION TAKEN/ COMMENTS</w:t>
            </w:r>
          </w:p>
        </w:tc>
      </w:tr>
      <w:tr>
        <w:trPr>
          <w:trHeight w:val="300"/>
        </w:trPr>
        <w:tc>
          <w:tcPr>
            <w:tcW w:w="9450" w:type="dxa"/>
            <w:gridSpan w:val="4"/>
            <w:tcBorders>
              <w:top w:val="single" w:sz="4" w:space="0" w:color="auto"/>
            </w:tcBorders>
            <w:shd w:val="clear" w:color="auto" w:fill="auto"/>
            <w:noWrap/>
          </w:tcPr>
          <w:p>
            <w:pPr>
              <w:suppressAutoHyphens w:val="0"/>
              <w:spacing w:after="0" w:line="240" w:lineRule="auto"/>
              <w:ind w:left="-79"/>
              <w:jc w:val="both"/>
              <w:rPr>
                <w:rFonts w:ascii="Arial" w:hAnsi="Arial" w:cs="Arial"/>
                <w:b/>
                <w:u w:val="single"/>
              </w:rPr>
            </w:pPr>
            <w:r>
              <w:rPr>
                <w:rFonts w:ascii="Arial" w:hAnsi="Arial" w:cs="Arial"/>
                <w:b/>
                <w:u w:val="single"/>
              </w:rPr>
              <w:t>Financial Audit</w:t>
            </w:r>
          </w:p>
        </w:tc>
      </w:tr>
      <w:tr>
        <w:trPr>
          <w:trHeight w:val="300"/>
        </w:trPr>
        <w:tc>
          <w:tcPr>
            <w:tcW w:w="1507" w:type="dxa"/>
            <w:shd w:val="clear" w:color="auto" w:fill="auto"/>
            <w:noWrap/>
          </w:tcPr>
          <w:p>
            <w:pPr>
              <w:suppressAutoHyphens w:val="0"/>
              <w:spacing w:after="0" w:line="240" w:lineRule="auto"/>
              <w:ind w:left="-79"/>
              <w:jc w:val="both"/>
              <w:rPr>
                <w:rFonts w:ascii="Arial" w:hAnsi="Arial" w:cs="Arial"/>
              </w:rPr>
            </w:pPr>
            <w:r>
              <w:rPr>
                <w:rFonts w:ascii="Arial" w:hAnsi="Arial" w:cs="Arial"/>
              </w:rPr>
              <w:t xml:space="preserve">Audit Observation (AO) No. 1 </w:t>
            </w:r>
          </w:p>
          <w:p>
            <w:pPr>
              <w:suppressAutoHyphens w:val="0"/>
              <w:spacing w:after="0" w:line="240" w:lineRule="auto"/>
              <w:ind w:left="-79"/>
              <w:jc w:val="both"/>
              <w:rPr>
                <w:rFonts w:ascii="Arial" w:hAnsi="Arial" w:cs="Arial"/>
                <w:lang w:val="en-PH" w:eastAsia="en-PH"/>
              </w:rPr>
            </w:pPr>
            <w:r>
              <w:rPr>
                <w:rFonts w:ascii="Arial" w:hAnsi="Arial" w:cs="Arial"/>
              </w:rPr>
              <w:t>Page 85-90</w:t>
            </w:r>
          </w:p>
          <w:p>
            <w:pPr>
              <w:suppressAutoHyphens w:val="0"/>
              <w:spacing w:after="0" w:line="240" w:lineRule="auto"/>
              <w:ind w:left="-79"/>
              <w:jc w:val="both"/>
              <w:rPr>
                <w:rFonts w:ascii="Arial" w:hAnsi="Arial" w:cs="Arial"/>
                <w:bCs/>
              </w:rPr>
            </w:pPr>
          </w:p>
        </w:tc>
        <w:tc>
          <w:tcPr>
            <w:tcW w:w="2993" w:type="dxa"/>
            <w:shd w:val="clear" w:color="auto" w:fill="auto"/>
          </w:tcPr>
          <w:p>
            <w:pPr>
              <w:suppressAutoHyphens w:val="0"/>
              <w:spacing w:after="0" w:line="240" w:lineRule="auto"/>
              <w:jc w:val="both"/>
              <w:rPr>
                <w:rFonts w:ascii="Arial" w:hAnsi="Arial" w:cs="Arial"/>
              </w:rPr>
            </w:pPr>
            <w:r>
              <w:rPr>
                <w:rFonts w:ascii="Arial" w:hAnsi="Arial" w:cs="Arial"/>
              </w:rPr>
              <w:t xml:space="preserve">The inclusion of an accrual for the 2020 Performance-Based Bonus (PBB) in the total amount of P24.504 million despite the absence of legal basis, hence not a valid obligation, resulted in the overstatement of the Financial Liabilities-Accounts Payable (FL-AP) and Other Bonuses and Allowances accounts by the same amount. </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r>
              <w:rPr>
                <w:rFonts w:ascii="Arial" w:hAnsi="Arial" w:cs="Arial"/>
              </w:rPr>
              <w:t>Likewise, the faithful representation in the financial statements as of December 31, 2020 of the FL-AP account amounting to P8.488 billion could not be established due to the noted deficiencies enumerated below, contrary to Qualitative Characteristic (QC)12, QC15 and QC26 of the Conceptual Framework for General Purpose Financial Reporting (CFGPFR) and Paragraph 15 of the Philippine Accounting Standards (PAS) 1:</w:t>
            </w:r>
          </w:p>
          <w:p>
            <w:pPr>
              <w:suppressAutoHyphens w:val="0"/>
              <w:spacing w:after="0" w:line="240" w:lineRule="auto"/>
              <w:jc w:val="both"/>
              <w:rPr>
                <w:rFonts w:ascii="Arial" w:hAnsi="Arial" w:cs="Arial"/>
              </w:rPr>
            </w:pPr>
          </w:p>
          <w:p>
            <w:pPr>
              <w:pStyle w:val="ListParagraph"/>
              <w:numPr>
                <w:ilvl w:val="0"/>
                <w:numId w:val="1"/>
              </w:numPr>
              <w:suppressAutoHyphens w:val="0"/>
              <w:spacing w:after="0" w:line="240" w:lineRule="auto"/>
              <w:ind w:left="223" w:hanging="203"/>
              <w:contextualSpacing w:val="0"/>
              <w:jc w:val="both"/>
              <w:rPr>
                <w:rFonts w:ascii="Arial" w:hAnsi="Arial" w:cs="Arial"/>
              </w:rPr>
            </w:pPr>
            <w:r>
              <w:rPr>
                <w:rFonts w:ascii="Arial" w:hAnsi="Arial" w:cs="Arial"/>
              </w:rPr>
              <w:t xml:space="preserve"> A discrepancy of P133.991 million existed between the balances of the Vouchers Payable – Charity Fund (VP-CF) account per General </w:t>
            </w:r>
            <w:r>
              <w:rPr>
                <w:rFonts w:ascii="Arial" w:hAnsi="Arial" w:cs="Arial"/>
              </w:rPr>
              <w:lastRenderedPageBreak/>
              <w:t xml:space="preserve">Ledger (GL) of P1,114.104 million and per supporting schedules of P980.113 million; </w:t>
            </w:r>
          </w:p>
          <w:p>
            <w:pPr>
              <w:pStyle w:val="ListParagraph"/>
              <w:suppressAutoHyphens w:val="0"/>
              <w:spacing w:after="0" w:line="240" w:lineRule="auto"/>
              <w:ind w:left="223"/>
              <w:contextualSpacing w:val="0"/>
              <w:jc w:val="both"/>
              <w:rPr>
                <w:rFonts w:ascii="Arial" w:hAnsi="Arial" w:cs="Arial"/>
              </w:rPr>
            </w:pPr>
          </w:p>
          <w:p>
            <w:pPr>
              <w:pStyle w:val="ListParagraph"/>
              <w:suppressAutoHyphens w:val="0"/>
              <w:spacing w:after="0" w:line="240" w:lineRule="auto"/>
              <w:ind w:left="223"/>
              <w:contextualSpacing w:val="0"/>
              <w:jc w:val="both"/>
              <w:rPr>
                <w:rFonts w:ascii="Arial" w:hAnsi="Arial" w:cs="Arial"/>
              </w:rPr>
            </w:pPr>
          </w:p>
          <w:p>
            <w:pPr>
              <w:pStyle w:val="ListParagraph"/>
              <w:suppressAutoHyphens w:val="0"/>
              <w:spacing w:after="0" w:line="240" w:lineRule="auto"/>
              <w:ind w:left="223"/>
              <w:contextualSpacing w:val="0"/>
              <w:jc w:val="both"/>
              <w:rPr>
                <w:rFonts w:ascii="Arial" w:hAnsi="Arial" w:cs="Arial"/>
              </w:rPr>
            </w:pPr>
          </w:p>
          <w:p>
            <w:pPr>
              <w:suppressAutoHyphens w:val="0"/>
              <w:spacing w:after="0" w:line="240" w:lineRule="auto"/>
              <w:jc w:val="both"/>
              <w:rPr>
                <w:rFonts w:ascii="Arial" w:hAnsi="Arial" w:cs="Arial"/>
              </w:rPr>
            </w:pPr>
          </w:p>
          <w:p>
            <w:pPr>
              <w:pStyle w:val="ListParagraph"/>
              <w:numPr>
                <w:ilvl w:val="0"/>
                <w:numId w:val="1"/>
              </w:numPr>
              <w:suppressAutoHyphens w:val="0"/>
              <w:spacing w:after="0" w:line="240" w:lineRule="auto"/>
              <w:ind w:left="223" w:hanging="203"/>
              <w:contextualSpacing w:val="0"/>
              <w:jc w:val="both"/>
              <w:rPr>
                <w:rFonts w:ascii="Arial" w:hAnsi="Arial" w:cs="Arial"/>
              </w:rPr>
            </w:pPr>
            <w:r>
              <w:rPr>
                <w:rFonts w:ascii="Arial" w:hAnsi="Arial" w:cs="Arial"/>
              </w:rPr>
              <w:t xml:space="preserve">Non-maintenance of Subsidiary Ledger (SL) for each creditor that would support the GL balances as of December 31, 2020 of the VP-CF account amounting to P1,114.104 million as well as the AP- Miscellaneous account in the amount of P6.976 billion; and </w:t>
            </w:r>
          </w:p>
          <w:p>
            <w:pPr>
              <w:pStyle w:val="ListParagraph"/>
              <w:rPr>
                <w:rFonts w:ascii="Arial" w:hAnsi="Arial" w:cs="Arial"/>
              </w:rPr>
            </w:pPr>
          </w:p>
          <w:p>
            <w:pPr>
              <w:pStyle w:val="ListParagraph"/>
              <w:numPr>
                <w:ilvl w:val="0"/>
                <w:numId w:val="1"/>
              </w:numPr>
              <w:suppressAutoHyphens w:val="0"/>
              <w:spacing w:after="0" w:line="240" w:lineRule="auto"/>
              <w:ind w:left="223" w:hanging="203"/>
              <w:contextualSpacing w:val="0"/>
              <w:jc w:val="both"/>
              <w:rPr>
                <w:rFonts w:ascii="Arial" w:hAnsi="Arial" w:cs="Arial"/>
              </w:rPr>
            </w:pPr>
            <w:r>
              <w:rPr>
                <w:rFonts w:ascii="Arial" w:hAnsi="Arial" w:cs="Arial"/>
              </w:rPr>
              <w:t>Existence of P127.647 million and P2.195 billion liabilities under the VP-CF and AP-Miscellaneous accounts, respectively, that remained outstanding for more than two years, against which no actual claims had been filed.</w:t>
            </w:r>
          </w:p>
          <w:p>
            <w:pPr>
              <w:pStyle w:val="ListParagraph"/>
              <w:suppressAutoHyphens w:val="0"/>
              <w:spacing w:after="0" w:line="240" w:lineRule="auto"/>
              <w:ind w:left="223"/>
              <w:contextualSpacing w:val="0"/>
              <w:jc w:val="both"/>
              <w:rPr>
                <w:rFonts w:ascii="Arial" w:hAnsi="Arial" w:cs="Arial"/>
              </w:rPr>
            </w:pPr>
            <w:r>
              <w:rPr>
                <w:rFonts w:ascii="Arial" w:hAnsi="Arial" w:cs="Arial"/>
              </w:rPr>
              <w:t xml:space="preserve"> </w:t>
            </w:r>
          </w:p>
        </w:tc>
        <w:tc>
          <w:tcPr>
            <w:tcW w:w="3047" w:type="dxa"/>
            <w:shd w:val="clear" w:color="auto" w:fill="auto"/>
          </w:tcPr>
          <w:p>
            <w:pPr>
              <w:pStyle w:val="Default"/>
              <w:jc w:val="both"/>
              <w:rPr>
                <w:bCs/>
                <w:color w:val="auto"/>
                <w:sz w:val="22"/>
                <w:szCs w:val="22"/>
              </w:rPr>
            </w:pPr>
            <w:r>
              <w:rPr>
                <w:bCs/>
                <w:color w:val="auto"/>
                <w:sz w:val="22"/>
                <w:szCs w:val="22"/>
              </w:rPr>
              <w:lastRenderedPageBreak/>
              <w:t xml:space="preserve">We recommended that Management direct the Accounting and Budget Department (ABD) to reverse the accrual made for the 2020 PBB totaling P24.504 million and, henceforth ensure that recorded liabilities are </w:t>
            </w:r>
            <w:proofErr w:type="spellStart"/>
            <w:r>
              <w:rPr>
                <w:bCs/>
                <w:color w:val="auto"/>
                <w:sz w:val="22"/>
                <w:szCs w:val="22"/>
              </w:rPr>
              <w:t>bonafide</w:t>
            </w:r>
            <w:proofErr w:type="spellEnd"/>
            <w:r>
              <w:rPr>
                <w:bCs/>
                <w:color w:val="auto"/>
                <w:sz w:val="22"/>
                <w:szCs w:val="22"/>
              </w:rPr>
              <w:t xml:space="preserve"> obligations of the PCSO and properly authorized in accordance with Paragraph 4.46 of the CFGPFR.</w:t>
            </w: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r>
              <w:rPr>
                <w:bCs/>
                <w:color w:val="auto"/>
                <w:sz w:val="22"/>
                <w:szCs w:val="22"/>
              </w:rPr>
              <w:t xml:space="preserve">We recommended and Management agreed to direct the ABD and Charity Assistance Department (CAD) personnel to conduct immediate reconciliation of </w:t>
            </w:r>
            <w:r>
              <w:rPr>
                <w:bCs/>
                <w:color w:val="auto"/>
                <w:sz w:val="22"/>
                <w:szCs w:val="22"/>
              </w:rPr>
              <w:lastRenderedPageBreak/>
              <w:t>their records in order to determine the cause/s of the noted discrepancy of P133.991 million and effect necessary adjustment or correction in the affected records.</w:t>
            </w: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r>
              <w:rPr>
                <w:bCs/>
                <w:color w:val="auto"/>
                <w:sz w:val="22"/>
                <w:szCs w:val="22"/>
              </w:rPr>
              <w:t xml:space="preserve"> </w:t>
            </w:r>
          </w:p>
          <w:p>
            <w:pPr>
              <w:pStyle w:val="Default"/>
              <w:jc w:val="both"/>
              <w:rPr>
                <w:bCs/>
                <w:color w:val="auto"/>
                <w:sz w:val="22"/>
                <w:szCs w:val="22"/>
              </w:rPr>
            </w:pPr>
            <w:r>
              <w:rPr>
                <w:bCs/>
                <w:color w:val="auto"/>
                <w:sz w:val="22"/>
                <w:szCs w:val="22"/>
              </w:rPr>
              <w:t>We recommended and Management agreed to direct the concerned ABD personnel to maintain an SL for each creditor to support the P1.114 billion and P6.976 billion GL balances of the VP-CF and AP- Miscellaneous accounts, respectively.</w:t>
            </w: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p>
          <w:p>
            <w:pPr>
              <w:pStyle w:val="Default"/>
              <w:jc w:val="both"/>
              <w:rPr>
                <w:bCs/>
                <w:color w:val="auto"/>
                <w:sz w:val="22"/>
                <w:szCs w:val="22"/>
              </w:rPr>
            </w:pPr>
            <w:r>
              <w:rPr>
                <w:bCs/>
                <w:color w:val="auto"/>
                <w:sz w:val="22"/>
                <w:szCs w:val="22"/>
              </w:rPr>
              <w:t>We recommended that Management instruct the ABD to evaluate thoroughly the validity of the VP- CF and AP- Miscellaneous accounts in the amounts of P127.647 million and P2.195 billion, respectively, which remained outstanding for more than two years, against which no actual claims had been filed and, if found not valid, revert the amount to the Retained Earnings account.</w:t>
            </w:r>
          </w:p>
        </w:tc>
        <w:tc>
          <w:tcPr>
            <w:tcW w:w="1903" w:type="dxa"/>
            <w:shd w:val="clear" w:color="auto" w:fill="auto"/>
          </w:tcPr>
          <w:p>
            <w:pPr>
              <w:suppressAutoHyphens w:val="0"/>
              <w:spacing w:after="0" w:line="240" w:lineRule="auto"/>
              <w:ind w:left="-79" w:right="-90"/>
              <w:jc w:val="both"/>
              <w:rPr>
                <w:rFonts w:ascii="Arial" w:hAnsi="Arial" w:cs="Arial"/>
                <w:bCs/>
              </w:rPr>
            </w:pPr>
            <w:r>
              <w:rPr>
                <w:rFonts w:ascii="Arial" w:hAnsi="Arial" w:cs="Arial"/>
                <w:bCs/>
              </w:rPr>
              <w:lastRenderedPageBreak/>
              <w:t>Partially Implemented</w:t>
            </w:r>
          </w:p>
          <w:p>
            <w:pPr>
              <w:suppressAutoHyphens w:val="0"/>
              <w:spacing w:after="0" w:line="240" w:lineRule="auto"/>
              <w:ind w:left="-79" w:right="-90"/>
              <w:jc w:val="both"/>
              <w:rPr>
                <w:rFonts w:ascii="Arial" w:hAnsi="Arial" w:cs="Arial"/>
                <w:bCs/>
              </w:rPr>
            </w:pPr>
          </w:p>
          <w:p>
            <w:pPr>
              <w:suppressAutoHyphens w:val="0"/>
              <w:spacing w:after="0" w:line="240" w:lineRule="auto"/>
              <w:ind w:left="-79" w:right="-90"/>
              <w:jc w:val="both"/>
              <w:rPr>
                <w:rFonts w:ascii="Arial" w:hAnsi="Arial" w:cs="Arial"/>
                <w:bCs/>
              </w:rPr>
            </w:pPr>
            <w:r>
              <w:rPr>
                <w:rFonts w:ascii="Arial" w:hAnsi="Arial" w:cs="Arial"/>
                <w:bCs/>
              </w:rPr>
              <w:t xml:space="preserve">Reiterated with updates under Part II – Observation and Recommendation No. 3 of this Report. </w:t>
            </w: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90"/>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90"/>
              <w:jc w:val="both"/>
              <w:rPr>
                <w:rFonts w:ascii="Arial" w:hAnsi="Arial" w:cs="Arial"/>
                <w:bCs/>
              </w:rPr>
            </w:pPr>
          </w:p>
          <w:p>
            <w:pPr>
              <w:suppressAutoHyphens w:val="0"/>
              <w:spacing w:after="0" w:line="240" w:lineRule="auto"/>
              <w:ind w:right="-90"/>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tc>
      </w:tr>
      <w:tr>
        <w:trPr>
          <w:trHeight w:val="300"/>
        </w:trPr>
        <w:tc>
          <w:tcPr>
            <w:tcW w:w="1507" w:type="dxa"/>
            <w:shd w:val="clear" w:color="auto" w:fill="auto"/>
            <w:noWrap/>
          </w:tcPr>
          <w:p>
            <w:pPr>
              <w:suppressAutoHyphens w:val="0"/>
              <w:spacing w:after="0" w:line="240" w:lineRule="auto"/>
              <w:ind w:left="-79"/>
              <w:jc w:val="both"/>
              <w:rPr>
                <w:rFonts w:ascii="Arial" w:hAnsi="Arial" w:cs="Arial"/>
              </w:rPr>
            </w:pPr>
            <w:r>
              <w:rPr>
                <w:rFonts w:ascii="Arial" w:hAnsi="Arial" w:cs="Arial"/>
              </w:rPr>
              <w:lastRenderedPageBreak/>
              <w:t>AO No. 2 Page 90-94</w:t>
            </w:r>
          </w:p>
        </w:tc>
        <w:tc>
          <w:tcPr>
            <w:tcW w:w="2993" w:type="dxa"/>
            <w:shd w:val="clear" w:color="auto" w:fill="auto"/>
          </w:tcPr>
          <w:p>
            <w:pPr>
              <w:suppressAutoHyphens w:val="0"/>
              <w:spacing w:after="0" w:line="240" w:lineRule="auto"/>
              <w:jc w:val="both"/>
              <w:rPr>
                <w:rFonts w:ascii="Arial" w:hAnsi="Arial" w:cs="Arial"/>
              </w:rPr>
            </w:pPr>
            <w:r>
              <w:rPr>
                <w:rFonts w:ascii="Arial" w:hAnsi="Arial" w:cs="Arial"/>
              </w:rPr>
              <w:t>The faithful representation in the financial statements of the balance of the Receivables – Accounts Receivable (AR) account with carrying amount of P6.297 billion as of December 31, 2020 cannot be ascertained in view of:</w:t>
            </w:r>
          </w:p>
          <w:p>
            <w:pPr>
              <w:suppressAutoHyphens w:val="0"/>
              <w:spacing w:after="0" w:line="240" w:lineRule="auto"/>
              <w:jc w:val="both"/>
              <w:rPr>
                <w:rFonts w:ascii="Arial" w:hAnsi="Arial" w:cs="Arial"/>
              </w:rPr>
            </w:pPr>
          </w:p>
          <w:p>
            <w:pPr>
              <w:pStyle w:val="ListParagraph"/>
              <w:numPr>
                <w:ilvl w:val="0"/>
                <w:numId w:val="22"/>
              </w:numPr>
              <w:suppressAutoHyphens w:val="0"/>
              <w:spacing w:after="0" w:line="240" w:lineRule="auto"/>
              <w:ind w:left="403"/>
              <w:jc w:val="both"/>
              <w:rPr>
                <w:rFonts w:ascii="Arial" w:hAnsi="Arial" w:cs="Arial"/>
              </w:rPr>
            </w:pPr>
            <w:r>
              <w:rPr>
                <w:rFonts w:ascii="Arial" w:hAnsi="Arial" w:cs="Arial"/>
              </w:rPr>
              <w:t xml:space="preserve">Four (4) AR sub-accounts for the </w:t>
            </w:r>
            <w:r>
              <w:rPr>
                <w:rFonts w:ascii="Arial" w:hAnsi="Arial" w:cs="Arial"/>
              </w:rPr>
              <w:lastRenderedPageBreak/>
              <w:t>National Capital Region (NCR) had abnormal (credit) GL balances totaling P578.541 million;</w:t>
            </w:r>
          </w:p>
          <w:p>
            <w:pPr>
              <w:pStyle w:val="ListParagraph"/>
              <w:suppressAutoHyphens w:val="0"/>
              <w:spacing w:after="0" w:line="240" w:lineRule="auto"/>
              <w:ind w:left="403"/>
              <w:jc w:val="both"/>
              <w:rPr>
                <w:rFonts w:ascii="Arial" w:hAnsi="Arial" w:cs="Arial"/>
              </w:rPr>
            </w:pPr>
          </w:p>
          <w:p>
            <w:pPr>
              <w:pStyle w:val="ListParagraph"/>
              <w:suppressAutoHyphens w:val="0"/>
              <w:spacing w:after="0" w:line="240" w:lineRule="auto"/>
              <w:ind w:left="403"/>
              <w:jc w:val="both"/>
              <w:rPr>
                <w:rFonts w:ascii="Arial" w:hAnsi="Arial" w:cs="Arial"/>
              </w:rPr>
            </w:pPr>
          </w:p>
          <w:p>
            <w:pPr>
              <w:pStyle w:val="ListParagraph"/>
              <w:suppressAutoHyphens w:val="0"/>
              <w:spacing w:after="0" w:line="240" w:lineRule="auto"/>
              <w:ind w:left="403"/>
              <w:jc w:val="both"/>
              <w:rPr>
                <w:rFonts w:ascii="Arial" w:hAnsi="Arial" w:cs="Arial"/>
              </w:rPr>
            </w:pPr>
          </w:p>
          <w:p>
            <w:pPr>
              <w:pStyle w:val="ListParagraph"/>
              <w:suppressAutoHyphens w:val="0"/>
              <w:spacing w:after="0" w:line="240" w:lineRule="auto"/>
              <w:ind w:left="403"/>
              <w:jc w:val="both"/>
              <w:rPr>
                <w:rFonts w:ascii="Arial" w:hAnsi="Arial" w:cs="Arial"/>
              </w:rPr>
            </w:pPr>
          </w:p>
          <w:p>
            <w:pPr>
              <w:pStyle w:val="ListParagraph"/>
              <w:suppressAutoHyphens w:val="0"/>
              <w:spacing w:after="0" w:line="240" w:lineRule="auto"/>
              <w:ind w:left="403"/>
              <w:jc w:val="both"/>
              <w:rPr>
                <w:rFonts w:ascii="Arial" w:hAnsi="Arial" w:cs="Arial"/>
              </w:rPr>
            </w:pPr>
          </w:p>
          <w:p>
            <w:pPr>
              <w:pStyle w:val="ListParagraph"/>
              <w:suppressAutoHyphens w:val="0"/>
              <w:spacing w:after="0" w:line="240" w:lineRule="auto"/>
              <w:ind w:left="403"/>
              <w:jc w:val="both"/>
              <w:rPr>
                <w:rFonts w:ascii="Arial" w:hAnsi="Arial" w:cs="Arial"/>
              </w:rPr>
            </w:pPr>
          </w:p>
          <w:p>
            <w:pPr>
              <w:pStyle w:val="ListParagraph"/>
              <w:suppressAutoHyphens w:val="0"/>
              <w:spacing w:after="0" w:line="240" w:lineRule="auto"/>
              <w:ind w:left="403"/>
              <w:jc w:val="both"/>
              <w:rPr>
                <w:rFonts w:ascii="Arial" w:hAnsi="Arial" w:cs="Arial"/>
              </w:rPr>
            </w:pPr>
          </w:p>
          <w:p>
            <w:pPr>
              <w:pStyle w:val="ListParagraph"/>
              <w:suppressAutoHyphens w:val="0"/>
              <w:spacing w:after="0" w:line="240" w:lineRule="auto"/>
              <w:ind w:left="403"/>
              <w:jc w:val="both"/>
              <w:rPr>
                <w:rFonts w:ascii="Arial" w:hAnsi="Arial" w:cs="Arial"/>
              </w:rPr>
            </w:pPr>
          </w:p>
          <w:p>
            <w:pPr>
              <w:pStyle w:val="ListParagraph"/>
              <w:numPr>
                <w:ilvl w:val="0"/>
                <w:numId w:val="22"/>
              </w:numPr>
              <w:suppressAutoHyphens w:val="0"/>
              <w:spacing w:after="0" w:line="240" w:lineRule="auto"/>
              <w:ind w:left="403"/>
              <w:jc w:val="both"/>
              <w:rPr>
                <w:rFonts w:ascii="Arial" w:hAnsi="Arial" w:cs="Arial"/>
              </w:rPr>
            </w:pPr>
            <w:r>
              <w:rPr>
                <w:rFonts w:ascii="Arial" w:hAnsi="Arial" w:cs="Arial"/>
              </w:rPr>
              <w:t>Balances between the GL and the submitted Aging of AR account had discrepancies of P97.285 million; and</w:t>
            </w:r>
          </w:p>
          <w:p>
            <w:pPr>
              <w:pStyle w:val="ListParagraph"/>
              <w:rPr>
                <w:rFonts w:ascii="Arial" w:hAnsi="Arial" w:cs="Arial"/>
              </w:rPr>
            </w:pPr>
          </w:p>
          <w:p>
            <w:pPr>
              <w:pStyle w:val="ListParagraph"/>
              <w:rPr>
                <w:rFonts w:ascii="Arial" w:hAnsi="Arial" w:cs="Arial"/>
              </w:rPr>
            </w:pPr>
          </w:p>
          <w:p>
            <w:pPr>
              <w:pStyle w:val="ListParagraph"/>
              <w:rPr>
                <w:rFonts w:ascii="Arial" w:hAnsi="Arial" w:cs="Arial"/>
              </w:rPr>
            </w:pPr>
          </w:p>
          <w:p>
            <w:pPr>
              <w:pStyle w:val="ListParagraph"/>
              <w:rPr>
                <w:rFonts w:ascii="Arial" w:hAnsi="Arial" w:cs="Arial"/>
              </w:rPr>
            </w:pPr>
          </w:p>
          <w:p>
            <w:pPr>
              <w:pStyle w:val="ListParagraph"/>
              <w:rPr>
                <w:rFonts w:ascii="Arial" w:hAnsi="Arial" w:cs="Arial"/>
              </w:rPr>
            </w:pPr>
          </w:p>
          <w:p>
            <w:pPr>
              <w:pStyle w:val="ListParagraph"/>
              <w:rPr>
                <w:rFonts w:ascii="Arial" w:hAnsi="Arial" w:cs="Arial"/>
              </w:rPr>
            </w:pPr>
          </w:p>
          <w:p>
            <w:pPr>
              <w:pStyle w:val="ListParagraph"/>
              <w:numPr>
                <w:ilvl w:val="0"/>
                <w:numId w:val="22"/>
              </w:numPr>
              <w:suppressAutoHyphens w:val="0"/>
              <w:spacing w:after="0" w:line="240" w:lineRule="auto"/>
              <w:ind w:left="403"/>
              <w:jc w:val="both"/>
              <w:rPr>
                <w:rFonts w:ascii="Arial" w:hAnsi="Arial" w:cs="Arial"/>
              </w:rPr>
            </w:pPr>
            <w:r>
              <w:rPr>
                <w:rFonts w:ascii="Arial" w:hAnsi="Arial" w:cs="Arial"/>
              </w:rPr>
              <w:t>Four (4) AR sub-accounts totaling P47.467 million were not properly supported with complete SLs and schedules, contrary to Paragraph 15 of PAS 1 and QC26 of CFGPFR.</w:t>
            </w:r>
          </w:p>
          <w:p>
            <w:pPr>
              <w:pStyle w:val="ListParagraph"/>
              <w:suppressAutoHyphens w:val="0"/>
              <w:spacing w:after="0" w:line="240" w:lineRule="auto"/>
              <w:ind w:left="1440"/>
              <w:contextualSpacing w:val="0"/>
              <w:jc w:val="both"/>
              <w:rPr>
                <w:rFonts w:ascii="Arial" w:hAnsi="Arial" w:cs="Arial"/>
              </w:rPr>
            </w:pPr>
          </w:p>
        </w:tc>
        <w:tc>
          <w:tcPr>
            <w:tcW w:w="3047" w:type="dxa"/>
            <w:shd w:val="clear" w:color="auto" w:fill="auto"/>
          </w:tcPr>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r>
              <w:rPr>
                <w:rFonts w:ascii="Arial" w:hAnsi="Arial" w:cs="Arial"/>
              </w:rPr>
              <w:t xml:space="preserve">We recommended that Management require the </w:t>
            </w:r>
            <w:r>
              <w:rPr>
                <w:rFonts w:ascii="Arial" w:hAnsi="Arial" w:cs="Arial"/>
              </w:rPr>
              <w:lastRenderedPageBreak/>
              <w:t>concerned ABD personnel to conduct thorough evaluation/ analysis of the transactions relating to the receivable accounts with abnormal (credit) balances to determine the cause/s thereof and to effect the necessary adjusting entries to fairly present the balance of the AR in the financial statements.</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r>
              <w:rPr>
                <w:rFonts w:ascii="Arial" w:hAnsi="Arial" w:cs="Arial"/>
              </w:rPr>
              <w:t>We recommended that Management direct the concerned ABD personnel to reconcile the GL balances of the AR sub-accounts with the corresponding Aging schedules to pinpoint the reason for the noted discrepancies and take appropriate action accordingly.</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r>
              <w:rPr>
                <w:rFonts w:ascii="Arial" w:hAnsi="Arial" w:cs="Arial"/>
              </w:rPr>
              <w:t>We recommended that Management require the ABD to maintain complete SLs and prepare schedules of the AR sub-accounts totaling P47.467 million, and submit the same to the Audit Team for verification/ validation.</w:t>
            </w:r>
          </w:p>
        </w:tc>
        <w:tc>
          <w:tcPr>
            <w:tcW w:w="1903" w:type="dxa"/>
            <w:shd w:val="clear" w:color="auto" w:fill="auto"/>
          </w:tcPr>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r>
              <w:rPr>
                <w:rFonts w:ascii="Arial" w:hAnsi="Arial" w:cs="Arial"/>
                <w:bCs/>
              </w:rPr>
              <w:t>Partially Implemented</w:t>
            </w:r>
          </w:p>
          <w:p>
            <w:pPr>
              <w:suppressAutoHyphens w:val="0"/>
              <w:spacing w:after="0" w:line="240" w:lineRule="auto"/>
              <w:ind w:left="-79"/>
              <w:jc w:val="both"/>
              <w:rPr>
                <w:rFonts w:ascii="Arial" w:hAnsi="Arial" w:cs="Arial"/>
                <w:bCs/>
              </w:rPr>
            </w:pPr>
          </w:p>
          <w:p>
            <w:pPr>
              <w:suppressAutoHyphens w:val="0"/>
              <w:spacing w:after="0" w:line="240" w:lineRule="auto"/>
              <w:ind w:left="-79" w:right="-90"/>
              <w:jc w:val="both"/>
              <w:rPr>
                <w:rFonts w:ascii="Arial" w:hAnsi="Arial" w:cs="Arial"/>
                <w:bCs/>
              </w:rPr>
            </w:pPr>
            <w:r>
              <w:rPr>
                <w:rFonts w:ascii="Arial" w:hAnsi="Arial" w:cs="Arial"/>
                <w:bCs/>
              </w:rPr>
              <w:t>Reiterated with updates under Part II – Observation and Recommendation No. 5 of this Report.</w:t>
            </w: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r>
              <w:rPr>
                <w:rFonts w:ascii="Arial" w:hAnsi="Arial" w:cs="Arial"/>
                <w:bCs/>
              </w:rPr>
              <w:t>Partially Implemented</w:t>
            </w:r>
          </w:p>
          <w:p>
            <w:pPr>
              <w:suppressAutoHyphens w:val="0"/>
              <w:spacing w:after="0" w:line="240" w:lineRule="auto"/>
              <w:ind w:left="-79"/>
              <w:jc w:val="both"/>
              <w:rPr>
                <w:rFonts w:ascii="Arial" w:hAnsi="Arial" w:cs="Arial"/>
                <w:bCs/>
              </w:rPr>
            </w:pPr>
          </w:p>
          <w:p>
            <w:pPr>
              <w:suppressAutoHyphens w:val="0"/>
              <w:spacing w:after="0" w:line="240" w:lineRule="auto"/>
              <w:ind w:left="-79" w:right="-90"/>
              <w:jc w:val="both"/>
              <w:rPr>
                <w:rFonts w:ascii="Arial" w:hAnsi="Arial" w:cs="Arial"/>
                <w:bCs/>
              </w:rPr>
            </w:pPr>
            <w:r>
              <w:rPr>
                <w:rFonts w:ascii="Arial" w:hAnsi="Arial" w:cs="Arial"/>
                <w:bCs/>
              </w:rPr>
              <w:t>Reiterated with updates under Part II – Observation and Recommendation No. 5 of this Report.</w:t>
            </w:r>
          </w:p>
          <w:p>
            <w:pPr>
              <w:suppressAutoHyphens w:val="0"/>
              <w:spacing w:after="0" w:line="240" w:lineRule="auto"/>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r>
              <w:rPr>
                <w:rFonts w:ascii="Arial" w:hAnsi="Arial" w:cs="Arial"/>
                <w:bCs/>
              </w:rPr>
              <w:t>Not Implemented</w:t>
            </w:r>
          </w:p>
          <w:p>
            <w:pPr>
              <w:suppressAutoHyphens w:val="0"/>
              <w:spacing w:after="0" w:line="240" w:lineRule="auto"/>
              <w:ind w:left="-79"/>
              <w:jc w:val="both"/>
              <w:rPr>
                <w:rFonts w:ascii="Arial" w:hAnsi="Arial" w:cs="Arial"/>
                <w:bCs/>
              </w:rPr>
            </w:pPr>
          </w:p>
          <w:p>
            <w:pPr>
              <w:suppressAutoHyphens w:val="0"/>
              <w:spacing w:after="0" w:line="240" w:lineRule="auto"/>
              <w:ind w:left="-79" w:right="-90"/>
              <w:jc w:val="both"/>
              <w:rPr>
                <w:rFonts w:ascii="Arial" w:hAnsi="Arial" w:cs="Arial"/>
                <w:bCs/>
              </w:rPr>
            </w:pPr>
            <w:r>
              <w:rPr>
                <w:rFonts w:ascii="Arial" w:hAnsi="Arial" w:cs="Arial"/>
                <w:bCs/>
              </w:rPr>
              <w:t>Reiterated with updates under Part II – Observation and Recommendation No. 5 of this Report.</w:t>
            </w:r>
          </w:p>
          <w:p>
            <w:pPr>
              <w:suppressAutoHyphens w:val="0"/>
              <w:spacing w:after="0" w:line="240" w:lineRule="auto"/>
              <w:ind w:left="-79"/>
              <w:jc w:val="both"/>
              <w:rPr>
                <w:rFonts w:ascii="Arial" w:hAnsi="Arial" w:cs="Arial"/>
                <w:bCs/>
              </w:rPr>
            </w:pPr>
          </w:p>
        </w:tc>
      </w:tr>
      <w:tr>
        <w:trPr>
          <w:trHeight w:val="300"/>
        </w:trPr>
        <w:tc>
          <w:tcPr>
            <w:tcW w:w="1507" w:type="dxa"/>
            <w:shd w:val="clear" w:color="auto" w:fill="auto"/>
            <w:noWrap/>
          </w:tcPr>
          <w:p>
            <w:pPr>
              <w:suppressAutoHyphens w:val="0"/>
              <w:spacing w:after="0" w:line="240" w:lineRule="auto"/>
              <w:jc w:val="both"/>
              <w:rPr>
                <w:rFonts w:ascii="Arial" w:hAnsi="Arial" w:cs="Arial"/>
              </w:rPr>
            </w:pPr>
            <w:r>
              <w:rPr>
                <w:rFonts w:ascii="Arial" w:hAnsi="Arial" w:cs="Arial"/>
              </w:rPr>
              <w:lastRenderedPageBreak/>
              <w:t>AO No. 3 Page 94- 101</w:t>
            </w:r>
          </w:p>
        </w:tc>
        <w:tc>
          <w:tcPr>
            <w:tcW w:w="2993" w:type="dxa"/>
            <w:shd w:val="clear" w:color="auto" w:fill="auto"/>
          </w:tcPr>
          <w:p>
            <w:pPr>
              <w:suppressAutoHyphens w:val="0"/>
              <w:spacing w:after="0" w:line="240" w:lineRule="auto"/>
              <w:jc w:val="both"/>
              <w:rPr>
                <w:rFonts w:ascii="Arial" w:hAnsi="Arial" w:cs="Arial"/>
              </w:rPr>
            </w:pPr>
            <w:r>
              <w:rPr>
                <w:rFonts w:ascii="Arial" w:hAnsi="Arial" w:cs="Arial"/>
              </w:rPr>
              <w:t>The faithful representation in the financial statements of the balance of the Cash and Cash Equivalents account in the amount of P14.206 billion as of December 31, 2020 was not established due to various deficiencies enumerated below, contrary to Paragraph 15 of PAS 1 and QC12 of the CFGPFR:</w:t>
            </w:r>
          </w:p>
          <w:p>
            <w:pPr>
              <w:suppressAutoHyphens w:val="0"/>
              <w:spacing w:after="0" w:line="240" w:lineRule="auto"/>
              <w:jc w:val="both"/>
              <w:rPr>
                <w:rFonts w:ascii="Arial" w:hAnsi="Arial" w:cs="Arial"/>
              </w:rPr>
            </w:pPr>
          </w:p>
          <w:p>
            <w:pPr>
              <w:pStyle w:val="ListParagraph"/>
              <w:numPr>
                <w:ilvl w:val="0"/>
                <w:numId w:val="23"/>
              </w:numPr>
              <w:suppressAutoHyphens w:val="0"/>
              <w:spacing w:after="0" w:line="240" w:lineRule="auto"/>
              <w:ind w:left="403"/>
              <w:jc w:val="both"/>
              <w:rPr>
                <w:rFonts w:ascii="Arial" w:hAnsi="Arial" w:cs="Arial"/>
              </w:rPr>
            </w:pPr>
            <w:r>
              <w:rPr>
                <w:rFonts w:ascii="Arial" w:hAnsi="Arial" w:cs="Arial"/>
              </w:rPr>
              <w:t xml:space="preserve">Discrepancies of P23.778 million and </w:t>
            </w:r>
            <w:r>
              <w:rPr>
                <w:rFonts w:ascii="Arial" w:hAnsi="Arial" w:cs="Arial"/>
              </w:rPr>
              <w:lastRenderedPageBreak/>
              <w:t>P46.930 million between the results of confirmation of the active bank accounts maintained for the Operating Fund (OF) &amp; Main Account (MA) and the Charity Fund (CF) &amp; Prize Fund (PF), respectively, and the corresponding balances of the subject bank accounts per GL as of December 31, 2020;</w:t>
            </w:r>
          </w:p>
          <w:p>
            <w:pPr>
              <w:pStyle w:val="ListParagraph"/>
              <w:suppressAutoHyphens w:val="0"/>
              <w:spacing w:after="0" w:line="240" w:lineRule="auto"/>
              <w:jc w:val="both"/>
              <w:rPr>
                <w:rFonts w:ascii="Arial" w:hAnsi="Arial" w:cs="Arial"/>
              </w:rPr>
            </w:pPr>
          </w:p>
          <w:p>
            <w:pPr>
              <w:pStyle w:val="ListParagraph"/>
              <w:numPr>
                <w:ilvl w:val="0"/>
                <w:numId w:val="23"/>
              </w:numPr>
              <w:suppressAutoHyphens w:val="0"/>
              <w:spacing w:after="0" w:line="240" w:lineRule="auto"/>
              <w:ind w:left="403"/>
              <w:jc w:val="both"/>
              <w:rPr>
                <w:rFonts w:ascii="Arial" w:hAnsi="Arial" w:cs="Arial"/>
              </w:rPr>
            </w:pPr>
            <w:r>
              <w:rPr>
                <w:rFonts w:ascii="Arial" w:hAnsi="Arial" w:cs="Arial"/>
              </w:rPr>
              <w:t>Journal Entry Vouchers (JEVs) effecting the adjusting entries totaling P59.681 million representing prior years’ book reconciling items noted in the bank reconciliation statements had incomplete and/or no supporting documents, contrary to Appendix 36 (C) of the GAM, Volume II and QC26 of the CFGPFR; and</w:t>
            </w:r>
          </w:p>
          <w:p>
            <w:pPr>
              <w:pStyle w:val="ListParagraph"/>
              <w:suppressAutoHyphens w:val="0"/>
              <w:spacing w:after="0" w:line="240" w:lineRule="auto"/>
              <w:ind w:left="403"/>
              <w:jc w:val="both"/>
              <w:rPr>
                <w:rFonts w:ascii="Arial" w:hAnsi="Arial" w:cs="Arial"/>
              </w:rPr>
            </w:pPr>
          </w:p>
          <w:p>
            <w:pPr>
              <w:pStyle w:val="ListParagraph"/>
              <w:numPr>
                <w:ilvl w:val="0"/>
                <w:numId w:val="23"/>
              </w:numPr>
              <w:suppressAutoHyphens w:val="0"/>
              <w:spacing w:after="0" w:line="240" w:lineRule="auto"/>
              <w:ind w:left="403"/>
              <w:jc w:val="both"/>
              <w:rPr>
                <w:rFonts w:ascii="Arial" w:hAnsi="Arial" w:cs="Arial"/>
              </w:rPr>
            </w:pPr>
            <w:r>
              <w:rPr>
                <w:rFonts w:ascii="Arial" w:hAnsi="Arial" w:cs="Arial"/>
              </w:rPr>
              <w:t>Three (3) bank accounts maintained with the different depository banks for the various PCSO Branches and Head Office, which were already closed per bank confirmation have remaining net abnormal or negative book balance of P20.418 million, which reduced the balance of the Cash in Bank account presented in the financial statements as of December 31, 2020 by the same amount.</w:t>
            </w:r>
          </w:p>
        </w:tc>
        <w:tc>
          <w:tcPr>
            <w:tcW w:w="3047" w:type="dxa"/>
            <w:shd w:val="clear" w:color="auto" w:fill="auto"/>
          </w:tcPr>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r>
              <w:rPr>
                <w:rFonts w:ascii="Arial" w:hAnsi="Arial" w:cs="Arial"/>
              </w:rPr>
              <w:t>We recommended that Management instruct the concerned ABD personnel to:</w:t>
            </w:r>
          </w:p>
          <w:p>
            <w:pPr>
              <w:suppressAutoHyphens w:val="0"/>
              <w:spacing w:after="0" w:line="240" w:lineRule="auto"/>
              <w:jc w:val="both"/>
              <w:rPr>
                <w:rFonts w:ascii="Arial" w:hAnsi="Arial" w:cs="Arial"/>
              </w:rPr>
            </w:pPr>
          </w:p>
          <w:p>
            <w:pPr>
              <w:pStyle w:val="ListParagraph"/>
              <w:numPr>
                <w:ilvl w:val="0"/>
                <w:numId w:val="41"/>
              </w:numPr>
              <w:suppressAutoHyphens w:val="0"/>
              <w:spacing w:after="0" w:line="240" w:lineRule="auto"/>
              <w:ind w:left="393"/>
              <w:jc w:val="both"/>
              <w:rPr>
                <w:rFonts w:ascii="Arial" w:hAnsi="Arial" w:cs="Arial"/>
              </w:rPr>
            </w:pPr>
            <w:r>
              <w:rPr>
                <w:rFonts w:ascii="Arial" w:hAnsi="Arial" w:cs="Arial"/>
              </w:rPr>
              <w:t>Conduct further verification/reconciliation</w:t>
            </w:r>
            <w:r>
              <w:rPr>
                <w:rFonts w:ascii="Arial" w:hAnsi="Arial" w:cs="Arial"/>
              </w:rPr>
              <w:lastRenderedPageBreak/>
              <w:t>/analysis of the remaining long outstanding book reconciling items as well as the current year’s unrecorded fund transfers and effect the necessary adjusting entries accordingly to reconcile the balances of the Cash in Bank account with the balances per bank;</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pStyle w:val="ListParagraph"/>
              <w:numPr>
                <w:ilvl w:val="0"/>
                <w:numId w:val="41"/>
              </w:numPr>
              <w:suppressAutoHyphens w:val="0"/>
              <w:spacing w:after="0" w:line="240" w:lineRule="auto"/>
              <w:ind w:left="393"/>
              <w:jc w:val="both"/>
              <w:rPr>
                <w:rFonts w:ascii="Arial" w:hAnsi="Arial" w:cs="Arial"/>
              </w:rPr>
            </w:pPr>
            <w:r>
              <w:rPr>
                <w:rFonts w:ascii="Arial" w:hAnsi="Arial" w:cs="Arial"/>
              </w:rPr>
              <w:t>Submit the complete supporting documents for the P59.681 million adjustments effected on the Cash in Bank account, and henceforth, ensure that all JEVs are properly supported with complete documentation; and</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pStyle w:val="ListParagraph"/>
              <w:numPr>
                <w:ilvl w:val="0"/>
                <w:numId w:val="41"/>
              </w:numPr>
              <w:suppressAutoHyphens w:val="0"/>
              <w:spacing w:after="0" w:line="240" w:lineRule="auto"/>
              <w:ind w:left="393" w:hanging="393"/>
              <w:jc w:val="both"/>
              <w:rPr>
                <w:rFonts w:ascii="Arial" w:hAnsi="Arial" w:cs="Arial"/>
              </w:rPr>
            </w:pPr>
            <w:r>
              <w:rPr>
                <w:rFonts w:ascii="Arial" w:hAnsi="Arial" w:cs="Arial"/>
              </w:rPr>
              <w:t>Exert all efforts to investigate the cause/s of the remaining balances of the closed bank accounts and effect the necessary adjustments to fairly present the balance of the Cash in Bank account in the financial statements.</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tc>
        <w:tc>
          <w:tcPr>
            <w:tcW w:w="1903" w:type="dxa"/>
            <w:shd w:val="clear" w:color="auto" w:fill="auto"/>
          </w:tcPr>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360"/>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ind w:left="-79" w:right="-90"/>
              <w:jc w:val="both"/>
              <w:rPr>
                <w:rFonts w:ascii="Arial" w:hAnsi="Arial" w:cs="Arial"/>
                <w:bCs/>
              </w:rPr>
            </w:pPr>
            <w:r>
              <w:rPr>
                <w:rFonts w:ascii="Arial" w:hAnsi="Arial" w:cs="Arial"/>
                <w:bCs/>
              </w:rPr>
              <w:t>Reiterated with updates under Part II – Observation and Recommendation No. 4 of this Report.</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ind w:left="-79" w:right="-90"/>
              <w:jc w:val="both"/>
              <w:rPr>
                <w:rFonts w:ascii="Arial" w:hAnsi="Arial" w:cs="Arial"/>
                <w:bCs/>
              </w:rPr>
            </w:pPr>
            <w:r>
              <w:rPr>
                <w:rFonts w:ascii="Arial" w:hAnsi="Arial" w:cs="Arial"/>
                <w:bCs/>
              </w:rPr>
              <w:t>Reiterated with updates under Part II – Observation and Recommendation No. 4 of this Report.</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ind w:left="-79" w:right="-90"/>
              <w:jc w:val="both"/>
              <w:rPr>
                <w:rFonts w:ascii="Arial" w:hAnsi="Arial" w:cs="Arial"/>
                <w:bCs/>
              </w:rPr>
            </w:pPr>
            <w:r>
              <w:rPr>
                <w:rFonts w:ascii="Arial" w:hAnsi="Arial" w:cs="Arial"/>
                <w:bCs/>
              </w:rPr>
              <w:t>Reiterated with updates under Part II – Observation and Recommendation No. 4 of this Report.</w:t>
            </w:r>
          </w:p>
          <w:p>
            <w:pPr>
              <w:suppressAutoHyphens w:val="0"/>
              <w:spacing w:after="0" w:line="240" w:lineRule="auto"/>
              <w:jc w:val="both"/>
              <w:rPr>
                <w:rFonts w:ascii="Arial" w:hAnsi="Arial" w:cs="Arial"/>
                <w:bCs/>
              </w:rPr>
            </w:pPr>
          </w:p>
        </w:tc>
      </w:tr>
      <w:tr>
        <w:trPr>
          <w:trHeight w:val="300"/>
        </w:trPr>
        <w:tc>
          <w:tcPr>
            <w:tcW w:w="1507" w:type="dxa"/>
            <w:shd w:val="clear" w:color="auto" w:fill="auto"/>
            <w:noWrap/>
          </w:tcPr>
          <w:p>
            <w:pPr>
              <w:suppressAutoHyphens w:val="0"/>
              <w:spacing w:after="0" w:line="240" w:lineRule="auto"/>
              <w:jc w:val="both"/>
              <w:rPr>
                <w:rFonts w:ascii="Arial" w:hAnsi="Arial" w:cs="Arial"/>
              </w:rPr>
            </w:pPr>
            <w:r>
              <w:rPr>
                <w:rFonts w:ascii="Arial" w:hAnsi="Arial" w:cs="Arial"/>
              </w:rPr>
              <w:lastRenderedPageBreak/>
              <w:t>AO No. 4  Page 101- 103</w:t>
            </w:r>
          </w:p>
        </w:tc>
        <w:tc>
          <w:tcPr>
            <w:tcW w:w="2993" w:type="dxa"/>
            <w:shd w:val="clear" w:color="auto" w:fill="auto"/>
          </w:tcPr>
          <w:p>
            <w:pPr>
              <w:suppressAutoHyphens w:val="0"/>
              <w:spacing w:after="0" w:line="240" w:lineRule="auto"/>
              <w:jc w:val="both"/>
              <w:rPr>
                <w:rFonts w:ascii="Arial" w:hAnsi="Arial" w:cs="Arial"/>
              </w:rPr>
            </w:pPr>
            <w:r>
              <w:rPr>
                <w:rFonts w:ascii="Arial" w:hAnsi="Arial" w:cs="Arial"/>
              </w:rPr>
              <w:t xml:space="preserve">The </w:t>
            </w:r>
            <w:proofErr w:type="spellStart"/>
            <w:r>
              <w:rPr>
                <w:rFonts w:ascii="Arial" w:hAnsi="Arial" w:cs="Arial"/>
              </w:rPr>
              <w:t>undercollection</w:t>
            </w:r>
            <w:proofErr w:type="spellEnd"/>
            <w:r>
              <w:rPr>
                <w:rFonts w:ascii="Arial" w:hAnsi="Arial" w:cs="Arial"/>
              </w:rPr>
              <w:t xml:space="preserve"> of the guaranteed shares of the PCSO from the sales of the Instant Sweepstakes tickets for CY 2020 amounting to P62.087 million was not recognized in the books resulting in the understatement of the Accounts Receivable and Income accounts by the same amount, contrary to Paragraphs 4.4 and 4.44 of CFGPFR.</w:t>
            </w:r>
          </w:p>
          <w:p>
            <w:pPr>
              <w:pStyle w:val="ListParagraph"/>
              <w:spacing w:after="0" w:line="240" w:lineRule="auto"/>
              <w:ind w:left="223" w:hanging="203"/>
              <w:rPr>
                <w:rFonts w:ascii="Arial" w:hAnsi="Arial" w:cs="Arial"/>
              </w:rPr>
            </w:pPr>
          </w:p>
          <w:p>
            <w:pPr>
              <w:pStyle w:val="ListParagraph"/>
              <w:spacing w:after="0" w:line="240" w:lineRule="auto"/>
              <w:ind w:left="223" w:hanging="203"/>
              <w:rPr>
                <w:rFonts w:ascii="Arial" w:hAnsi="Arial" w:cs="Arial"/>
                <w:i/>
              </w:rPr>
            </w:pPr>
          </w:p>
          <w:p>
            <w:pPr>
              <w:spacing w:after="0" w:line="240" w:lineRule="auto"/>
              <w:ind w:left="223" w:hanging="203"/>
              <w:contextualSpacing/>
              <w:jc w:val="both"/>
              <w:rPr>
                <w:rFonts w:ascii="Arial" w:hAnsi="Arial" w:cs="Arial"/>
                <w:i/>
              </w:rPr>
            </w:pPr>
          </w:p>
          <w:p>
            <w:pPr>
              <w:spacing w:after="0" w:line="240" w:lineRule="auto"/>
              <w:ind w:left="223" w:hanging="203"/>
              <w:rPr>
                <w:rFonts w:ascii="Arial" w:hAnsi="Arial" w:cs="Arial"/>
                <w:lang w:val="en-PH" w:eastAsia="en-PH"/>
              </w:rPr>
            </w:pPr>
          </w:p>
        </w:tc>
        <w:tc>
          <w:tcPr>
            <w:tcW w:w="3047" w:type="dxa"/>
            <w:shd w:val="clear" w:color="auto" w:fill="auto"/>
          </w:tcPr>
          <w:p>
            <w:pPr>
              <w:spacing w:after="0" w:line="240" w:lineRule="auto"/>
              <w:jc w:val="both"/>
              <w:rPr>
                <w:rFonts w:ascii="Arial" w:hAnsi="Arial" w:cs="Arial"/>
                <w:bCs/>
              </w:rPr>
            </w:pPr>
            <w:r>
              <w:rPr>
                <w:rFonts w:ascii="Arial" w:hAnsi="Arial" w:cs="Arial"/>
                <w:bCs/>
              </w:rPr>
              <w:t>We recommended and Management agreed to require the ABD to:</w:t>
            </w:r>
          </w:p>
          <w:p>
            <w:pPr>
              <w:spacing w:after="0" w:line="240" w:lineRule="auto"/>
              <w:jc w:val="both"/>
              <w:rPr>
                <w:rFonts w:ascii="Arial" w:hAnsi="Arial" w:cs="Arial"/>
                <w:bCs/>
              </w:rPr>
            </w:pPr>
          </w:p>
          <w:p>
            <w:pPr>
              <w:pStyle w:val="ListParagraph"/>
              <w:numPr>
                <w:ilvl w:val="0"/>
                <w:numId w:val="24"/>
              </w:numPr>
              <w:spacing w:after="0" w:line="240" w:lineRule="auto"/>
              <w:ind w:left="379"/>
              <w:jc w:val="both"/>
              <w:rPr>
                <w:rFonts w:ascii="Arial" w:hAnsi="Arial" w:cs="Arial"/>
                <w:bCs/>
              </w:rPr>
            </w:pPr>
            <w:r>
              <w:rPr>
                <w:rFonts w:ascii="Arial" w:hAnsi="Arial" w:cs="Arial"/>
                <w:bCs/>
              </w:rPr>
              <w:t>Recognize in the books the under collection of the 13 per cent guaranteed shares from the sales of the Instant Sweepstakes for CY 2020 in accordance with the IRR for the ISP; and</w:t>
            </w: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numPr>
                <w:ilvl w:val="0"/>
                <w:numId w:val="24"/>
              </w:numPr>
              <w:spacing w:after="0" w:line="240" w:lineRule="auto"/>
              <w:ind w:left="379"/>
              <w:jc w:val="both"/>
              <w:rPr>
                <w:rFonts w:ascii="Arial" w:hAnsi="Arial" w:cs="Arial"/>
                <w:bCs/>
              </w:rPr>
            </w:pPr>
            <w:r>
              <w:rPr>
                <w:rFonts w:ascii="Arial" w:hAnsi="Arial" w:cs="Arial"/>
                <w:bCs/>
              </w:rPr>
              <w:t>Collect from the Authorized Distributor the unremitted shares of the PCSO amounting to P24.212 million so that it could be utilized for the various charity programs of the PCSO.</w:t>
            </w:r>
          </w:p>
        </w:tc>
        <w:tc>
          <w:tcPr>
            <w:tcW w:w="1903" w:type="dxa"/>
            <w:shd w:val="clear" w:color="auto" w:fill="auto"/>
          </w:tcPr>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Not Implemented</w:t>
            </w:r>
          </w:p>
          <w:p>
            <w:pPr>
              <w:suppressAutoHyphens w:val="0"/>
              <w:spacing w:after="0" w:line="240" w:lineRule="auto"/>
              <w:jc w:val="both"/>
              <w:rPr>
                <w:rFonts w:ascii="Arial" w:hAnsi="Arial" w:cs="Arial"/>
                <w:bCs/>
              </w:rPr>
            </w:pPr>
          </w:p>
          <w:p>
            <w:pPr>
              <w:suppressAutoHyphens w:val="0"/>
              <w:spacing w:after="0" w:line="240" w:lineRule="auto"/>
              <w:ind w:left="-23" w:right="-90"/>
              <w:jc w:val="both"/>
              <w:rPr>
                <w:rFonts w:ascii="Arial" w:hAnsi="Arial" w:cs="Arial"/>
                <w:bCs/>
              </w:rPr>
            </w:pPr>
            <w:r>
              <w:rPr>
                <w:rFonts w:ascii="Arial" w:hAnsi="Arial" w:cs="Arial"/>
                <w:bCs/>
              </w:rPr>
              <w:t>The proponent understands that it should remit the full amount of guaranteed shares to the PCSO at the end of the 5 – year contract.</w:t>
            </w:r>
          </w:p>
          <w:p>
            <w:pPr>
              <w:suppressAutoHyphens w:val="0"/>
              <w:spacing w:after="0" w:line="240" w:lineRule="auto"/>
              <w:jc w:val="both"/>
              <w:rPr>
                <w:rFonts w:ascii="Arial" w:hAnsi="Arial" w:cs="Arial"/>
                <w:bCs/>
              </w:rPr>
            </w:pPr>
          </w:p>
          <w:p>
            <w:pPr>
              <w:suppressAutoHyphens w:val="0"/>
              <w:spacing w:after="0" w:line="240" w:lineRule="auto"/>
              <w:ind w:left="-23" w:right="-90"/>
              <w:jc w:val="both"/>
              <w:rPr>
                <w:rFonts w:ascii="Arial" w:hAnsi="Arial" w:cs="Arial"/>
                <w:bCs/>
              </w:rPr>
            </w:pPr>
            <w:r>
              <w:rPr>
                <w:rFonts w:ascii="Arial" w:hAnsi="Arial" w:cs="Arial"/>
                <w:bCs/>
              </w:rPr>
              <w:t>Follow-up with the Office of the President for the approval of the IRR is being done.</w:t>
            </w:r>
          </w:p>
          <w:p>
            <w:pPr>
              <w:suppressAutoHyphens w:val="0"/>
              <w:spacing w:after="0" w:line="240" w:lineRule="auto"/>
              <w:ind w:left="-23"/>
              <w:jc w:val="both"/>
              <w:rPr>
                <w:rFonts w:ascii="Arial" w:hAnsi="Arial" w:cs="Arial"/>
                <w:bCs/>
              </w:rPr>
            </w:pPr>
          </w:p>
          <w:p>
            <w:pPr>
              <w:suppressAutoHyphens w:val="0"/>
              <w:spacing w:after="0" w:line="240" w:lineRule="auto"/>
              <w:ind w:left="-23" w:right="-90"/>
              <w:jc w:val="both"/>
              <w:rPr>
                <w:rFonts w:ascii="Arial" w:hAnsi="Arial" w:cs="Arial"/>
                <w:bCs/>
              </w:rPr>
            </w:pPr>
            <w:r>
              <w:rPr>
                <w:rFonts w:ascii="Arial" w:hAnsi="Arial" w:cs="Arial"/>
                <w:bCs/>
              </w:rPr>
              <w:t>Reiterated with updates under Part II – Observation and Recommendation No. 23 of this Report.</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
                <w:bCs/>
              </w:rPr>
            </w:pPr>
            <w:r>
              <w:rPr>
                <w:rFonts w:ascii="Arial" w:hAnsi="Arial" w:cs="Arial"/>
                <w:bCs/>
              </w:rPr>
              <w:t>Not Implemented</w:t>
            </w:r>
          </w:p>
        </w:tc>
      </w:tr>
      <w:tr>
        <w:trPr>
          <w:trHeight w:val="300"/>
        </w:trPr>
        <w:tc>
          <w:tcPr>
            <w:tcW w:w="9450" w:type="dxa"/>
            <w:gridSpan w:val="4"/>
            <w:shd w:val="clear" w:color="auto" w:fill="auto"/>
            <w:noWrap/>
          </w:tcPr>
          <w:p>
            <w:pPr>
              <w:suppressAutoHyphens w:val="0"/>
              <w:spacing w:after="0" w:line="240" w:lineRule="auto"/>
              <w:jc w:val="both"/>
              <w:rPr>
                <w:rFonts w:ascii="Arial" w:hAnsi="Arial" w:cs="Arial"/>
                <w:b/>
                <w:bCs/>
                <w:u w:val="single"/>
              </w:rPr>
            </w:pPr>
            <w:r>
              <w:rPr>
                <w:rFonts w:ascii="Arial" w:hAnsi="Arial" w:cs="Arial"/>
                <w:b/>
                <w:bCs/>
                <w:u w:val="single"/>
              </w:rPr>
              <w:t>Compliance Audit</w:t>
            </w:r>
          </w:p>
        </w:tc>
      </w:tr>
      <w:tr>
        <w:trPr>
          <w:trHeight w:val="300"/>
        </w:trPr>
        <w:tc>
          <w:tcPr>
            <w:tcW w:w="1507" w:type="dxa"/>
            <w:shd w:val="clear" w:color="auto" w:fill="auto"/>
            <w:noWrap/>
          </w:tcPr>
          <w:p>
            <w:pPr>
              <w:suppressAutoHyphens w:val="0"/>
              <w:spacing w:after="0" w:line="240" w:lineRule="auto"/>
              <w:jc w:val="both"/>
              <w:rPr>
                <w:rFonts w:ascii="Arial" w:hAnsi="Arial" w:cs="Arial"/>
              </w:rPr>
            </w:pPr>
            <w:r>
              <w:rPr>
                <w:rFonts w:ascii="Arial" w:hAnsi="Arial" w:cs="Arial"/>
              </w:rPr>
              <w:t>AO No. 5 Page 104-105</w:t>
            </w:r>
          </w:p>
        </w:tc>
        <w:tc>
          <w:tcPr>
            <w:tcW w:w="2993" w:type="dxa"/>
            <w:shd w:val="clear" w:color="auto" w:fill="auto"/>
          </w:tcPr>
          <w:p>
            <w:pPr>
              <w:suppressAutoHyphens w:val="0"/>
              <w:spacing w:after="0" w:line="240" w:lineRule="auto"/>
              <w:jc w:val="both"/>
              <w:rPr>
                <w:rFonts w:ascii="Arial" w:hAnsi="Arial" w:cs="Arial"/>
                <w:lang w:val="en-PH" w:eastAsia="en-PH"/>
              </w:rPr>
            </w:pPr>
            <w:r>
              <w:rPr>
                <w:rFonts w:ascii="Arial" w:hAnsi="Arial" w:cs="Arial"/>
                <w:lang w:val="en-PH" w:eastAsia="en-PH"/>
              </w:rPr>
              <w:t>Disbursements in the total amount of P154.212 million, representing payments made to the Philippine Television Network, Inc. (PTNI) for the airtime, production, technical equipment, microwave transmission facility and post production of the PCSO’s lottery draws were not properly supported with a Memorandum of Agreement (MOA), which was not in accordance with the procedure for an Agency to Agency mode of procurement provided under Annex H of the 2016 Revised Implementing Rules and Regulations (RIRR) of Republic Act (RA) No. 9184, or the government procurement law.</w:t>
            </w:r>
          </w:p>
        </w:tc>
        <w:tc>
          <w:tcPr>
            <w:tcW w:w="3047" w:type="dxa"/>
            <w:shd w:val="clear" w:color="auto" w:fill="auto"/>
          </w:tcPr>
          <w:p>
            <w:pPr>
              <w:spacing w:after="0" w:line="240" w:lineRule="auto"/>
              <w:jc w:val="both"/>
              <w:rPr>
                <w:rFonts w:ascii="Arial" w:hAnsi="Arial" w:cs="Arial"/>
                <w:bCs/>
              </w:rPr>
            </w:pPr>
            <w:r>
              <w:rPr>
                <w:rFonts w:ascii="Arial" w:hAnsi="Arial" w:cs="Arial"/>
                <w:bCs/>
              </w:rPr>
              <w:t>We recommended that Management:</w:t>
            </w:r>
          </w:p>
          <w:p>
            <w:pPr>
              <w:spacing w:after="0" w:line="240" w:lineRule="auto"/>
              <w:jc w:val="both"/>
              <w:rPr>
                <w:rFonts w:ascii="Arial" w:hAnsi="Arial" w:cs="Arial"/>
                <w:bCs/>
              </w:rPr>
            </w:pPr>
          </w:p>
          <w:p>
            <w:pPr>
              <w:pStyle w:val="ListParagraph"/>
              <w:numPr>
                <w:ilvl w:val="0"/>
                <w:numId w:val="25"/>
              </w:numPr>
              <w:spacing w:after="0" w:line="240" w:lineRule="auto"/>
              <w:ind w:left="379" w:hanging="379"/>
              <w:jc w:val="both"/>
              <w:rPr>
                <w:rFonts w:ascii="Arial" w:hAnsi="Arial" w:cs="Arial"/>
                <w:bCs/>
              </w:rPr>
            </w:pPr>
            <w:r>
              <w:rPr>
                <w:rFonts w:ascii="Arial" w:hAnsi="Arial" w:cs="Arial"/>
                <w:bCs/>
              </w:rPr>
              <w:t>Ensure compliance with the provisions embodied under Annex H to the 2016 RIRR of RA No. 9184, particularly on the Agency to Agency mode of procurement; and</w:t>
            </w: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numPr>
                <w:ilvl w:val="0"/>
                <w:numId w:val="25"/>
              </w:numPr>
              <w:spacing w:after="0" w:line="240" w:lineRule="auto"/>
              <w:ind w:left="379"/>
              <w:jc w:val="both"/>
              <w:rPr>
                <w:rFonts w:ascii="Arial" w:hAnsi="Arial" w:cs="Arial"/>
                <w:bCs/>
              </w:rPr>
            </w:pPr>
            <w:r>
              <w:rPr>
                <w:rFonts w:ascii="Arial" w:hAnsi="Arial" w:cs="Arial"/>
                <w:bCs/>
              </w:rPr>
              <w:t>Execute immediately a MOA with the PTNI to protect the best interest of the PCSO.</w:t>
            </w:r>
          </w:p>
        </w:tc>
        <w:tc>
          <w:tcPr>
            <w:tcW w:w="1903" w:type="dxa"/>
            <w:shd w:val="clear" w:color="auto" w:fill="auto"/>
          </w:tcPr>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ind w:right="-90"/>
              <w:jc w:val="both"/>
              <w:rPr>
                <w:rFonts w:ascii="Arial" w:hAnsi="Arial" w:cs="Arial"/>
                <w:bCs/>
              </w:rPr>
            </w:pPr>
            <w:r>
              <w:rPr>
                <w:rFonts w:ascii="Arial" w:hAnsi="Arial" w:cs="Arial"/>
                <w:bCs/>
              </w:rPr>
              <w:t xml:space="preserve">Transactions with PTNI have been regularized with the extension on a monthly basis until a new contract is executed by PCSO and PTNI, pursuant to the procedures under RA 9184 and </w:t>
            </w:r>
            <w:proofErr w:type="gramStart"/>
            <w:r>
              <w:rPr>
                <w:rFonts w:ascii="Arial" w:hAnsi="Arial" w:cs="Arial"/>
                <w:bCs/>
              </w:rPr>
              <w:t>its</w:t>
            </w:r>
            <w:proofErr w:type="gramEnd"/>
            <w:r>
              <w:rPr>
                <w:rFonts w:ascii="Arial" w:hAnsi="Arial" w:cs="Arial"/>
                <w:bCs/>
              </w:rPr>
              <w:t xml:space="preserve"> IRR.</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Fully Implemented</w:t>
            </w:r>
          </w:p>
        </w:tc>
      </w:tr>
      <w:tr>
        <w:trPr>
          <w:trHeight w:val="300"/>
        </w:trPr>
        <w:tc>
          <w:tcPr>
            <w:tcW w:w="1507" w:type="dxa"/>
            <w:shd w:val="clear" w:color="auto" w:fill="auto"/>
            <w:noWrap/>
          </w:tcPr>
          <w:p>
            <w:pPr>
              <w:suppressAutoHyphens w:val="0"/>
              <w:spacing w:after="0" w:line="240" w:lineRule="auto"/>
              <w:jc w:val="both"/>
              <w:rPr>
                <w:rFonts w:ascii="Arial" w:hAnsi="Arial" w:cs="Arial"/>
              </w:rPr>
            </w:pPr>
            <w:r>
              <w:rPr>
                <w:rFonts w:ascii="Arial" w:hAnsi="Arial" w:cs="Arial"/>
              </w:rPr>
              <w:t>AO No. 6 Page 106-109</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tc>
        <w:tc>
          <w:tcPr>
            <w:tcW w:w="2993" w:type="dxa"/>
            <w:shd w:val="clear" w:color="auto" w:fill="auto"/>
          </w:tcPr>
          <w:p>
            <w:pPr>
              <w:spacing w:after="0" w:line="240" w:lineRule="auto"/>
              <w:jc w:val="both"/>
              <w:rPr>
                <w:rFonts w:ascii="Arial" w:hAnsi="Arial" w:cs="Arial"/>
              </w:rPr>
            </w:pPr>
            <w:r>
              <w:rPr>
                <w:rFonts w:ascii="Arial" w:hAnsi="Arial" w:cs="Arial"/>
              </w:rPr>
              <w:t>The implementation of the Medical Transport Vehicle Donation Program (MTVDP), particularly those pertaining to the Emergency Medical Service Vehicles (EMSVs) and Patient Transport Vehicles (PTVs) released to the approved beneficiaries/recipients during CYs 2019 and 2020 disclosed the following deficiencies:</w:t>
            </w:r>
          </w:p>
          <w:p>
            <w:pPr>
              <w:spacing w:after="0" w:line="240" w:lineRule="auto"/>
              <w:jc w:val="both"/>
              <w:rPr>
                <w:rFonts w:ascii="Arial" w:hAnsi="Arial" w:cs="Arial"/>
              </w:rPr>
            </w:pPr>
          </w:p>
          <w:p>
            <w:pPr>
              <w:pStyle w:val="ListParagraph"/>
              <w:numPr>
                <w:ilvl w:val="0"/>
                <w:numId w:val="26"/>
              </w:numPr>
              <w:spacing w:after="0" w:line="240" w:lineRule="auto"/>
              <w:ind w:left="403"/>
              <w:jc w:val="both"/>
              <w:rPr>
                <w:rFonts w:ascii="Arial" w:hAnsi="Arial" w:cs="Arial"/>
              </w:rPr>
            </w:pPr>
            <w:r>
              <w:rPr>
                <w:rFonts w:ascii="Arial" w:hAnsi="Arial" w:cs="Arial"/>
              </w:rPr>
              <w:t>Forty-five (45) units EMSV were purchased upon the approval of the PCSO Board despite that only 42 beneficiaries were identified and approved by the same Board, resulting in excess purchases of three (3) units costing P7.044 million that remained idle and not put into productive use as of December 31, 2020;</w:t>
            </w:r>
          </w:p>
          <w:p>
            <w:pPr>
              <w:pStyle w:val="ListParagraph"/>
              <w:spacing w:after="0" w:line="240" w:lineRule="auto"/>
              <w:jc w:val="both"/>
              <w:rPr>
                <w:rFonts w:ascii="Arial" w:hAnsi="Arial" w:cs="Arial"/>
              </w:rPr>
            </w:pPr>
          </w:p>
          <w:p>
            <w:pPr>
              <w:pStyle w:val="ListParagraph"/>
              <w:numPr>
                <w:ilvl w:val="0"/>
                <w:numId w:val="26"/>
              </w:numPr>
              <w:spacing w:after="0" w:line="240" w:lineRule="auto"/>
              <w:ind w:left="403"/>
              <w:jc w:val="both"/>
              <w:rPr>
                <w:rFonts w:ascii="Arial" w:hAnsi="Arial" w:cs="Arial"/>
              </w:rPr>
            </w:pPr>
            <w:r>
              <w:rPr>
                <w:rFonts w:ascii="Arial" w:hAnsi="Arial" w:cs="Arial"/>
              </w:rPr>
              <w:t>Beneficiaries of the 42 units EMSV did not submit the proof of registration with the Department of Health (DOH) as Ambulance Service Provider (ASP), contrary to the requirement under Section XII (A.3) of the Guidelines for the PCSO MTVDP, casting doubt on whether the donated EMSVs have been approved as ambulances; and</w:t>
            </w:r>
          </w:p>
          <w:p>
            <w:pPr>
              <w:pStyle w:val="ListParagraph"/>
              <w:rPr>
                <w:rFonts w:ascii="Arial" w:hAnsi="Arial" w:cs="Arial"/>
              </w:rPr>
            </w:pPr>
          </w:p>
          <w:p>
            <w:pPr>
              <w:pStyle w:val="ListParagraph"/>
              <w:numPr>
                <w:ilvl w:val="0"/>
                <w:numId w:val="26"/>
              </w:numPr>
              <w:spacing w:after="0" w:line="240" w:lineRule="auto"/>
              <w:ind w:left="403"/>
              <w:jc w:val="both"/>
              <w:rPr>
                <w:rFonts w:ascii="Arial" w:hAnsi="Arial" w:cs="Arial"/>
              </w:rPr>
            </w:pPr>
            <w:r>
              <w:rPr>
                <w:rFonts w:ascii="Arial" w:hAnsi="Arial" w:cs="Arial"/>
              </w:rPr>
              <w:t>The release of the 293 units of PTV amounting to P464.423 million were not supported with the grant release documentations to prove that these units were turned over and accepted by the beneficiaries, contrary to Section XI (4) of the Guidelines for the MTVDP.</w:t>
            </w: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tc>
        <w:tc>
          <w:tcPr>
            <w:tcW w:w="3047" w:type="dxa"/>
            <w:shd w:val="clear" w:color="auto" w:fill="auto"/>
          </w:tcPr>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r>
              <w:rPr>
                <w:rFonts w:ascii="Arial" w:hAnsi="Arial" w:cs="Arial"/>
                <w:bCs/>
              </w:rPr>
              <w:t>We recommended that Management:</w:t>
            </w:r>
          </w:p>
          <w:p>
            <w:pPr>
              <w:spacing w:after="0" w:line="240" w:lineRule="auto"/>
              <w:jc w:val="both"/>
              <w:rPr>
                <w:rFonts w:ascii="Arial" w:hAnsi="Arial" w:cs="Arial"/>
                <w:bCs/>
              </w:rPr>
            </w:pPr>
          </w:p>
          <w:p>
            <w:pPr>
              <w:pStyle w:val="ListParagraph"/>
              <w:numPr>
                <w:ilvl w:val="0"/>
                <w:numId w:val="27"/>
              </w:numPr>
              <w:spacing w:after="0" w:line="240" w:lineRule="auto"/>
              <w:ind w:left="379"/>
              <w:jc w:val="both"/>
              <w:rPr>
                <w:rFonts w:ascii="Arial" w:hAnsi="Arial" w:cs="Arial"/>
                <w:bCs/>
              </w:rPr>
            </w:pPr>
            <w:r>
              <w:rPr>
                <w:rFonts w:ascii="Arial" w:hAnsi="Arial" w:cs="Arial"/>
                <w:bCs/>
              </w:rPr>
              <w:t>Direct the CAD to:</w:t>
            </w:r>
          </w:p>
          <w:p>
            <w:pPr>
              <w:pStyle w:val="ListParagraph"/>
              <w:spacing w:after="0" w:line="240" w:lineRule="auto"/>
              <w:ind w:left="379"/>
              <w:jc w:val="both"/>
              <w:rPr>
                <w:rFonts w:ascii="Arial" w:hAnsi="Arial" w:cs="Arial"/>
                <w:bCs/>
              </w:rPr>
            </w:pPr>
          </w:p>
          <w:p>
            <w:pPr>
              <w:pStyle w:val="ListParagraph"/>
              <w:spacing w:after="0" w:line="240" w:lineRule="auto"/>
              <w:ind w:left="663" w:hanging="663"/>
              <w:jc w:val="both"/>
              <w:rPr>
                <w:rFonts w:ascii="Arial" w:hAnsi="Arial" w:cs="Arial"/>
                <w:bCs/>
              </w:rPr>
            </w:pPr>
            <w:r>
              <w:rPr>
                <w:rFonts w:ascii="Arial" w:hAnsi="Arial" w:cs="Arial"/>
                <w:bCs/>
              </w:rPr>
              <w:t>a.1 Ensure that the implementation of the MTVDP is well-planned and coordinated to avoid over procurement and where the items are not put into productive use, resulting in waste of government resources;</w:t>
            </w: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ind w:left="663" w:hanging="663"/>
              <w:jc w:val="both"/>
              <w:rPr>
                <w:rFonts w:ascii="Arial" w:hAnsi="Arial" w:cs="Arial"/>
                <w:bCs/>
              </w:rPr>
            </w:pPr>
            <w:r>
              <w:rPr>
                <w:rFonts w:ascii="Arial" w:hAnsi="Arial" w:cs="Arial"/>
                <w:bCs/>
              </w:rPr>
              <w:t xml:space="preserve">a.2    Cause the immediate submission by the 42 beneficiaries of the EMSVs of the required proof of registration with the DOH as ASP, otherwise, impose the sanctions provided under Section XII (A.3) of the Guidelines for the PCSO MTVDP; and </w:t>
            </w: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tabs>
                <w:tab w:val="left" w:pos="809"/>
              </w:tabs>
              <w:spacing w:after="0" w:line="240" w:lineRule="auto"/>
              <w:ind w:left="667" w:hanging="667"/>
              <w:jc w:val="both"/>
              <w:rPr>
                <w:rFonts w:ascii="Arial" w:hAnsi="Arial" w:cs="Arial"/>
                <w:bCs/>
              </w:rPr>
            </w:pPr>
            <w:proofErr w:type="gramStart"/>
            <w:r>
              <w:rPr>
                <w:rFonts w:ascii="Arial" w:hAnsi="Arial" w:cs="Arial"/>
                <w:bCs/>
              </w:rPr>
              <w:t>a.3</w:t>
            </w:r>
            <w:proofErr w:type="gramEnd"/>
            <w:r>
              <w:rPr>
                <w:rFonts w:ascii="Arial" w:hAnsi="Arial" w:cs="Arial"/>
                <w:bCs/>
              </w:rPr>
              <w:t xml:space="preserve">      Cause the submission of the grant release documentations for the 293 units of PTV as required under Section XI (4) of the Guidelines for the MTVDP.</w:t>
            </w: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spacing w:after="0" w:line="240" w:lineRule="auto"/>
              <w:jc w:val="both"/>
              <w:rPr>
                <w:rFonts w:ascii="Arial" w:hAnsi="Arial" w:cs="Arial"/>
                <w:bCs/>
              </w:rPr>
            </w:pPr>
          </w:p>
          <w:p>
            <w:pPr>
              <w:pStyle w:val="ListParagraph"/>
              <w:numPr>
                <w:ilvl w:val="0"/>
                <w:numId w:val="27"/>
              </w:numPr>
              <w:spacing w:after="0" w:line="240" w:lineRule="auto"/>
              <w:ind w:left="379"/>
              <w:jc w:val="both"/>
              <w:rPr>
                <w:rFonts w:ascii="Arial" w:hAnsi="Arial" w:cs="Arial"/>
                <w:bCs/>
              </w:rPr>
            </w:pPr>
            <w:r>
              <w:rPr>
                <w:rFonts w:ascii="Arial" w:hAnsi="Arial" w:cs="Arial"/>
                <w:bCs/>
              </w:rPr>
              <w:t>Require the ABD to ensure that the JEVs relating to the release of donated PTVs are duly supported with complete documentation.</w:t>
            </w:r>
          </w:p>
          <w:p>
            <w:pPr>
              <w:pStyle w:val="ListParagraph"/>
              <w:spacing w:after="0" w:line="240" w:lineRule="auto"/>
              <w:ind w:left="379"/>
              <w:jc w:val="both"/>
              <w:rPr>
                <w:rFonts w:ascii="Arial" w:hAnsi="Arial" w:cs="Arial"/>
                <w:bCs/>
              </w:rPr>
            </w:pPr>
          </w:p>
        </w:tc>
        <w:tc>
          <w:tcPr>
            <w:tcW w:w="1903" w:type="dxa"/>
            <w:shd w:val="clear" w:color="auto" w:fill="auto"/>
          </w:tcPr>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tc>
      </w:tr>
      <w:tr>
        <w:trPr>
          <w:trHeight w:val="300"/>
        </w:trPr>
        <w:tc>
          <w:tcPr>
            <w:tcW w:w="1507" w:type="dxa"/>
            <w:shd w:val="clear" w:color="auto" w:fill="auto"/>
            <w:noWrap/>
          </w:tcPr>
          <w:p>
            <w:pPr>
              <w:suppressAutoHyphens w:val="0"/>
              <w:spacing w:after="0" w:line="240" w:lineRule="auto"/>
              <w:jc w:val="both"/>
              <w:rPr>
                <w:rFonts w:ascii="Arial" w:hAnsi="Arial" w:cs="Arial"/>
              </w:rPr>
            </w:pPr>
            <w:r>
              <w:rPr>
                <w:rFonts w:ascii="Arial" w:hAnsi="Arial" w:cs="Arial"/>
              </w:rPr>
              <w:t>AO No. 7 Page 110-112</w:t>
            </w:r>
          </w:p>
          <w:p>
            <w:pPr>
              <w:suppressAutoHyphens w:val="0"/>
              <w:spacing w:after="0" w:line="240" w:lineRule="auto"/>
              <w:jc w:val="both"/>
              <w:rPr>
                <w:rFonts w:ascii="Arial" w:hAnsi="Arial" w:cs="Arial"/>
              </w:rPr>
            </w:pPr>
          </w:p>
        </w:tc>
        <w:tc>
          <w:tcPr>
            <w:tcW w:w="2993" w:type="dxa"/>
            <w:shd w:val="clear" w:color="auto" w:fill="auto"/>
          </w:tcPr>
          <w:p>
            <w:pPr>
              <w:spacing w:after="0" w:line="240" w:lineRule="auto"/>
              <w:jc w:val="both"/>
              <w:rPr>
                <w:rFonts w:ascii="Arial" w:hAnsi="Arial" w:cs="Arial"/>
              </w:rPr>
            </w:pPr>
            <w:r>
              <w:rPr>
                <w:rFonts w:ascii="Arial" w:hAnsi="Arial" w:cs="Arial"/>
              </w:rPr>
              <w:t>The PCSO disbursed/paid the amount of P95.107 million for its Special Share to the PCSO- Provident Fund, despite the disbursements/payments made thereto in previous years had been disallowed in audit and the yearly proposed budget therefor from CYs 2012 to 2020 has been consistently disapproved by the Department of Budget and Management (DBM) for want of legal basis.</w:t>
            </w:r>
          </w:p>
        </w:tc>
        <w:tc>
          <w:tcPr>
            <w:tcW w:w="3047" w:type="dxa"/>
            <w:shd w:val="clear" w:color="auto" w:fill="auto"/>
          </w:tcPr>
          <w:p>
            <w:pPr>
              <w:spacing w:after="0" w:line="240" w:lineRule="auto"/>
              <w:jc w:val="both"/>
              <w:rPr>
                <w:rFonts w:ascii="Arial" w:hAnsi="Arial" w:cs="Arial"/>
                <w:bCs/>
              </w:rPr>
            </w:pPr>
            <w:r>
              <w:rPr>
                <w:rFonts w:ascii="Arial" w:hAnsi="Arial" w:cs="Arial"/>
                <w:bCs/>
              </w:rPr>
              <w:t>We recommended that Management discontinue the payment/disbursement of Special Share to the PCSO Provident Fund and cause the immediate refund of the P95.107 million paid in CY 2020, to avoid accumulation of disallowance in audit.</w:t>
            </w:r>
          </w:p>
        </w:tc>
        <w:tc>
          <w:tcPr>
            <w:tcW w:w="1903" w:type="dxa"/>
            <w:shd w:val="clear" w:color="auto" w:fill="auto"/>
          </w:tcPr>
          <w:p>
            <w:pPr>
              <w:suppressAutoHyphens w:val="0"/>
              <w:spacing w:after="0" w:line="240" w:lineRule="auto"/>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ind w:right="-90"/>
              <w:jc w:val="both"/>
              <w:rPr>
                <w:rFonts w:ascii="Arial" w:hAnsi="Arial" w:cs="Arial"/>
                <w:bCs/>
              </w:rPr>
            </w:pPr>
            <w:r>
              <w:rPr>
                <w:rFonts w:ascii="Arial" w:hAnsi="Arial" w:cs="Arial"/>
                <w:bCs/>
              </w:rPr>
              <w:t>Per COA’s recommendation, the payment of Special Share to the PCSO Provident Fund has already been discontinued since December, 2020.  However, the refund of the P95.107 million disbursements made during CY2020 is not yet done as based on the manifestation of the Provident Fund Board even right after the Exit Conference, it is waiting for the maturity of its several investments.  Upon maturity, the same shall be remitted to the PCSO Fund.</w:t>
            </w:r>
          </w:p>
        </w:tc>
      </w:tr>
      <w:tr>
        <w:trPr>
          <w:trHeight w:val="300"/>
        </w:trPr>
        <w:tc>
          <w:tcPr>
            <w:tcW w:w="9450" w:type="dxa"/>
            <w:gridSpan w:val="4"/>
            <w:shd w:val="clear" w:color="auto" w:fill="auto"/>
            <w:noWrap/>
          </w:tcPr>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b/>
              </w:rPr>
            </w:pPr>
            <w:r>
              <w:rPr>
                <w:rFonts w:ascii="Arial" w:hAnsi="Arial" w:cs="Arial"/>
                <w:b/>
              </w:rPr>
              <w:t>GENDER AND DEVELOPMENT (GAD)</w:t>
            </w:r>
          </w:p>
          <w:p>
            <w:pPr>
              <w:spacing w:after="0" w:line="240" w:lineRule="auto"/>
              <w:rPr>
                <w:rFonts w:ascii="Arial" w:hAnsi="Arial" w:cs="Arial"/>
              </w:rPr>
            </w:pPr>
          </w:p>
        </w:tc>
      </w:tr>
      <w:tr>
        <w:trPr>
          <w:trHeight w:val="923"/>
        </w:trPr>
        <w:tc>
          <w:tcPr>
            <w:tcW w:w="1507" w:type="dxa"/>
            <w:shd w:val="clear" w:color="auto" w:fill="auto"/>
            <w:noWrap/>
          </w:tcPr>
          <w:p>
            <w:pPr>
              <w:suppressAutoHyphens w:val="0"/>
              <w:spacing w:after="0" w:line="240" w:lineRule="auto"/>
              <w:jc w:val="both"/>
              <w:rPr>
                <w:rFonts w:ascii="Arial" w:hAnsi="Arial" w:cs="Arial"/>
              </w:rPr>
            </w:pPr>
            <w:r>
              <w:rPr>
                <w:rFonts w:ascii="Arial" w:hAnsi="Arial" w:cs="Arial"/>
              </w:rPr>
              <w:t>AO No. 8 Page 112-113</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tc>
        <w:tc>
          <w:tcPr>
            <w:tcW w:w="2993" w:type="dxa"/>
            <w:shd w:val="clear" w:color="auto" w:fill="auto"/>
          </w:tcPr>
          <w:p>
            <w:pPr>
              <w:suppressAutoHyphens w:val="0"/>
              <w:spacing w:after="0" w:line="240" w:lineRule="auto"/>
              <w:jc w:val="both"/>
              <w:rPr>
                <w:rFonts w:ascii="Arial" w:hAnsi="Arial" w:cs="Arial"/>
                <w:iCs/>
              </w:rPr>
            </w:pPr>
            <w:r>
              <w:rPr>
                <w:rFonts w:ascii="Arial" w:hAnsi="Arial" w:cs="Arial"/>
                <w:iCs/>
              </w:rPr>
              <w:t>The PCSO was not able to submit its annual GAD Plan and Budget (GPB) and the GAD Accomplishment Report (GAD AR) for CY 2020 to the Philippine Commission on Women (PCW); hence, the duly endorsed GPB and GAD AR were not submitted to the Audit Team, contrary to PCW Memorandum Circular (MC) Nos. 2019-02 and 2021-01 dated August 1, 2019 and January 20, 2021, respectively.</w:t>
            </w:r>
          </w:p>
          <w:p>
            <w:pPr>
              <w:suppressAutoHyphens w:val="0"/>
              <w:spacing w:after="0" w:line="240" w:lineRule="auto"/>
              <w:jc w:val="both"/>
              <w:rPr>
                <w:rFonts w:ascii="Arial" w:hAnsi="Arial" w:cs="Arial"/>
                <w:iCs/>
              </w:rPr>
            </w:pPr>
          </w:p>
          <w:p>
            <w:pPr>
              <w:suppressAutoHyphens w:val="0"/>
              <w:spacing w:after="0" w:line="240" w:lineRule="auto"/>
              <w:jc w:val="both"/>
              <w:rPr>
                <w:rFonts w:ascii="Arial" w:hAnsi="Arial" w:cs="Arial"/>
                <w:iCs/>
              </w:rPr>
            </w:pPr>
          </w:p>
          <w:p>
            <w:pPr>
              <w:suppressAutoHyphens w:val="0"/>
              <w:spacing w:after="0" w:line="240" w:lineRule="auto"/>
              <w:jc w:val="both"/>
              <w:rPr>
                <w:rFonts w:ascii="Arial" w:hAnsi="Arial" w:cs="Arial"/>
                <w:iCs/>
              </w:rPr>
            </w:pPr>
          </w:p>
          <w:p>
            <w:pPr>
              <w:suppressAutoHyphens w:val="0"/>
              <w:spacing w:after="0" w:line="240" w:lineRule="auto"/>
              <w:jc w:val="both"/>
              <w:rPr>
                <w:rFonts w:ascii="Arial" w:hAnsi="Arial" w:cs="Arial"/>
                <w:iCs/>
              </w:rPr>
            </w:pPr>
          </w:p>
        </w:tc>
        <w:tc>
          <w:tcPr>
            <w:tcW w:w="3047" w:type="dxa"/>
            <w:shd w:val="clear" w:color="auto" w:fill="auto"/>
          </w:tcPr>
          <w:p>
            <w:pPr>
              <w:spacing w:after="0" w:line="240" w:lineRule="auto"/>
              <w:jc w:val="both"/>
              <w:rPr>
                <w:rFonts w:ascii="Arial" w:hAnsi="Arial" w:cs="Arial"/>
              </w:rPr>
            </w:pPr>
            <w:r>
              <w:rPr>
                <w:rFonts w:ascii="Arial" w:hAnsi="Arial" w:cs="Arial"/>
                <w:iCs/>
              </w:rPr>
              <w:t>We recommended that Management direct the GAD Focal Point System to strictly comply with the requirements contained in the various MCs issued by the PCW relative to the preparation and submission of GPB and GAD AR to the PCW for endorsement/review.</w:t>
            </w:r>
          </w:p>
          <w:p>
            <w:pPr>
              <w:rPr>
                <w:rFonts w:ascii="Arial" w:hAnsi="Arial" w:cs="Arial"/>
              </w:rPr>
            </w:pPr>
          </w:p>
        </w:tc>
        <w:tc>
          <w:tcPr>
            <w:tcW w:w="1903" w:type="dxa"/>
            <w:shd w:val="clear" w:color="auto" w:fill="auto"/>
          </w:tcPr>
          <w:p>
            <w:pPr>
              <w:suppressAutoHyphens w:val="0"/>
              <w:spacing w:after="0" w:line="240" w:lineRule="auto"/>
              <w:jc w:val="both"/>
              <w:rPr>
                <w:rFonts w:ascii="Arial" w:hAnsi="Arial" w:cs="Arial"/>
                <w:bCs/>
              </w:rPr>
            </w:pPr>
            <w:r>
              <w:rPr>
                <w:rFonts w:ascii="Arial" w:hAnsi="Arial" w:cs="Arial"/>
                <w:bCs/>
              </w:rPr>
              <w:t>Not Implemented</w:t>
            </w:r>
          </w:p>
          <w:p>
            <w:pPr>
              <w:suppressAutoHyphens w:val="0"/>
              <w:spacing w:after="0" w:line="240" w:lineRule="auto"/>
              <w:jc w:val="both"/>
              <w:rPr>
                <w:rFonts w:ascii="Arial" w:hAnsi="Arial" w:cs="Arial"/>
                <w:bCs/>
              </w:rPr>
            </w:pPr>
          </w:p>
          <w:p>
            <w:pPr>
              <w:suppressAutoHyphens w:val="0"/>
              <w:spacing w:after="0" w:line="240" w:lineRule="auto"/>
              <w:ind w:left="-23" w:right="-90"/>
              <w:jc w:val="both"/>
              <w:rPr>
                <w:rFonts w:ascii="Arial" w:hAnsi="Arial" w:cs="Arial"/>
                <w:bCs/>
              </w:rPr>
            </w:pPr>
            <w:r>
              <w:rPr>
                <w:rFonts w:ascii="Arial" w:hAnsi="Arial" w:cs="Arial"/>
                <w:bCs/>
              </w:rPr>
              <w:t>Reiterated with updates under Part II – Observation and Recommendation No. 25 of this Report.</w:t>
            </w:r>
          </w:p>
          <w:p>
            <w:pPr>
              <w:suppressAutoHyphens w:val="0"/>
              <w:spacing w:after="0" w:line="240" w:lineRule="auto"/>
              <w:jc w:val="both"/>
              <w:rPr>
                <w:rFonts w:ascii="Arial" w:hAnsi="Arial" w:cs="Arial"/>
                <w:bCs/>
              </w:rPr>
            </w:pPr>
          </w:p>
        </w:tc>
      </w:tr>
      <w:tr>
        <w:trPr>
          <w:trHeight w:val="300"/>
        </w:trPr>
        <w:tc>
          <w:tcPr>
            <w:tcW w:w="9450" w:type="dxa"/>
            <w:gridSpan w:val="4"/>
            <w:shd w:val="clear" w:color="auto" w:fill="auto"/>
            <w:noWrap/>
          </w:tcPr>
          <w:p>
            <w:pPr>
              <w:suppressAutoHyphens w:val="0"/>
              <w:spacing w:after="0" w:line="240" w:lineRule="auto"/>
              <w:ind w:left="-36"/>
              <w:jc w:val="both"/>
              <w:rPr>
                <w:rFonts w:ascii="Arial" w:hAnsi="Arial" w:cs="Arial"/>
                <w:b/>
                <w:iCs/>
              </w:rPr>
            </w:pPr>
            <w:r>
              <w:rPr>
                <w:rFonts w:ascii="Arial" w:hAnsi="Arial" w:cs="Arial"/>
                <w:b/>
                <w:iCs/>
              </w:rPr>
              <w:t>COVID RELATED EXPENSES</w:t>
            </w:r>
          </w:p>
          <w:p>
            <w:pPr>
              <w:suppressAutoHyphens w:val="0"/>
              <w:spacing w:after="0" w:line="240" w:lineRule="auto"/>
              <w:jc w:val="both"/>
              <w:rPr>
                <w:rFonts w:ascii="Arial" w:hAnsi="Arial" w:cs="Arial"/>
                <w:bCs/>
              </w:rPr>
            </w:pPr>
          </w:p>
        </w:tc>
      </w:tr>
      <w:tr>
        <w:trPr>
          <w:trHeight w:val="300"/>
        </w:trPr>
        <w:tc>
          <w:tcPr>
            <w:tcW w:w="1507" w:type="dxa"/>
            <w:shd w:val="clear" w:color="auto" w:fill="auto"/>
            <w:noWrap/>
          </w:tcPr>
          <w:p>
            <w:pPr>
              <w:suppressAutoHyphens w:val="0"/>
              <w:spacing w:after="0" w:line="240" w:lineRule="auto"/>
              <w:jc w:val="both"/>
              <w:rPr>
                <w:rFonts w:ascii="Arial" w:hAnsi="Arial" w:cs="Arial"/>
              </w:rPr>
            </w:pPr>
            <w:r>
              <w:rPr>
                <w:rFonts w:ascii="Arial" w:hAnsi="Arial" w:cs="Arial"/>
              </w:rPr>
              <w:t>AO No. 9 Page 113-116</w:t>
            </w:r>
          </w:p>
        </w:tc>
        <w:tc>
          <w:tcPr>
            <w:tcW w:w="2993" w:type="dxa"/>
            <w:shd w:val="clear" w:color="auto" w:fill="auto"/>
          </w:tcPr>
          <w:p>
            <w:pPr>
              <w:suppressAutoHyphens w:val="0"/>
              <w:spacing w:after="0" w:line="240" w:lineRule="auto"/>
              <w:jc w:val="both"/>
              <w:rPr>
                <w:rFonts w:ascii="Arial" w:hAnsi="Arial" w:cs="Arial"/>
                <w:lang w:val="en-PH" w:eastAsia="en-PH"/>
              </w:rPr>
            </w:pPr>
            <w:r>
              <w:rPr>
                <w:rFonts w:ascii="Arial" w:hAnsi="Arial" w:cs="Arial"/>
                <w:lang w:val="en-PH" w:eastAsia="en-PH"/>
              </w:rPr>
              <w:t>The Financial Assistance granted to PCSO officials, employees, Board of Directors (BOD), Job Order (JO) workers and Confidential Agents (CAs) in the total amount of P61.330 million was bereft of legal basis, thus considered an irregular expenditure as defined under Section 3.0 of COA Circular No. 2012-003 dated October 29, 2012.</w:t>
            </w:r>
          </w:p>
        </w:tc>
        <w:tc>
          <w:tcPr>
            <w:tcW w:w="3047" w:type="dxa"/>
            <w:shd w:val="clear" w:color="auto" w:fill="auto"/>
          </w:tcPr>
          <w:p>
            <w:pPr>
              <w:spacing w:after="0" w:line="240" w:lineRule="auto"/>
              <w:jc w:val="both"/>
              <w:rPr>
                <w:rFonts w:ascii="Arial" w:hAnsi="Arial" w:cs="Arial"/>
                <w:iCs/>
              </w:rPr>
            </w:pPr>
            <w:r>
              <w:rPr>
                <w:rFonts w:ascii="Arial" w:hAnsi="Arial" w:cs="Arial"/>
                <w:iCs/>
              </w:rPr>
              <w:t>We recommended that Management:</w:t>
            </w:r>
          </w:p>
          <w:p>
            <w:pPr>
              <w:spacing w:after="0" w:line="240" w:lineRule="auto"/>
              <w:jc w:val="both"/>
              <w:rPr>
                <w:rFonts w:ascii="Arial" w:hAnsi="Arial" w:cs="Arial"/>
                <w:iCs/>
              </w:rPr>
            </w:pPr>
          </w:p>
          <w:p>
            <w:pPr>
              <w:pStyle w:val="ListParagraph"/>
              <w:numPr>
                <w:ilvl w:val="0"/>
                <w:numId w:val="33"/>
              </w:numPr>
              <w:spacing w:after="0" w:line="240" w:lineRule="auto"/>
              <w:ind w:left="379"/>
              <w:jc w:val="both"/>
              <w:rPr>
                <w:rFonts w:ascii="Arial" w:hAnsi="Arial" w:cs="Arial"/>
                <w:iCs/>
              </w:rPr>
            </w:pPr>
            <w:r>
              <w:rPr>
                <w:rFonts w:ascii="Arial" w:hAnsi="Arial" w:cs="Arial"/>
                <w:iCs/>
              </w:rPr>
              <w:t>Submit approval of the OP on the financial assistance granted to officers, employees, BOD, JO workers and CAs in the total amount of P61.330 million; otherwise, the same shall be disallowed in audit pursuant to COA Circular No. 2012-003 dated October 29, 2012; and</w:t>
            </w: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numPr>
                <w:ilvl w:val="0"/>
                <w:numId w:val="33"/>
              </w:numPr>
              <w:spacing w:after="0" w:line="240" w:lineRule="auto"/>
              <w:ind w:left="379" w:hanging="379"/>
              <w:jc w:val="both"/>
              <w:rPr>
                <w:rFonts w:ascii="Arial" w:hAnsi="Arial" w:cs="Arial"/>
                <w:iCs/>
              </w:rPr>
            </w:pPr>
            <w:r>
              <w:rPr>
                <w:rFonts w:ascii="Arial" w:hAnsi="Arial" w:cs="Arial"/>
                <w:iCs/>
              </w:rPr>
              <w:t>Henceforth, exercise at all times the diligence of a good father of a family in running the affairs of the PCSO by ensuring that disbursements of government’s funds are clothed with pertinent legal basis.</w:t>
            </w:r>
          </w:p>
        </w:tc>
        <w:tc>
          <w:tcPr>
            <w:tcW w:w="1903" w:type="dxa"/>
            <w:shd w:val="clear" w:color="auto" w:fill="auto"/>
          </w:tcPr>
          <w:p>
            <w:pPr>
              <w:suppressAutoHyphens w:val="0"/>
              <w:spacing w:after="0" w:line="240" w:lineRule="auto"/>
              <w:jc w:val="both"/>
              <w:rPr>
                <w:rFonts w:ascii="Arial" w:hAnsi="Arial" w:cs="Arial"/>
                <w:bCs/>
              </w:rPr>
            </w:pPr>
            <w:r>
              <w:rPr>
                <w:rFonts w:ascii="Arial" w:hAnsi="Arial" w:cs="Arial"/>
                <w:bCs/>
              </w:rPr>
              <w:t xml:space="preserve">Partially Implemented </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 xml:space="preserve">The HRD made again a follow-up letter to the Office of the President requesting for the approval of the grant.  Nevertheless, the General Manager has issued a memorandum instructing the Accounting and Budget Department to deduct the amount of the Financial Assistance granted from those retiring or separated from the services. </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tc>
      </w:tr>
      <w:tr>
        <w:trPr>
          <w:trHeight w:val="300"/>
        </w:trPr>
        <w:tc>
          <w:tcPr>
            <w:tcW w:w="1507" w:type="dxa"/>
            <w:tcBorders>
              <w:bottom w:val="single" w:sz="4" w:space="0" w:color="auto"/>
            </w:tcBorders>
            <w:shd w:val="clear" w:color="auto" w:fill="auto"/>
            <w:noWrap/>
          </w:tcPr>
          <w:p>
            <w:pPr>
              <w:suppressAutoHyphens w:val="0"/>
              <w:spacing w:after="0" w:line="240" w:lineRule="auto"/>
              <w:jc w:val="both"/>
              <w:rPr>
                <w:rFonts w:ascii="Arial" w:hAnsi="Arial" w:cs="Arial"/>
              </w:rPr>
            </w:pPr>
            <w:r>
              <w:rPr>
                <w:rFonts w:ascii="Arial" w:hAnsi="Arial" w:cs="Arial"/>
              </w:rPr>
              <w:t>AO No. 10 Page 117-119</w:t>
            </w:r>
          </w:p>
        </w:tc>
        <w:tc>
          <w:tcPr>
            <w:tcW w:w="2993" w:type="dxa"/>
            <w:tcBorders>
              <w:bottom w:val="single" w:sz="4" w:space="0" w:color="auto"/>
            </w:tcBorders>
            <w:shd w:val="clear" w:color="auto" w:fill="auto"/>
          </w:tcPr>
          <w:p>
            <w:pPr>
              <w:suppressAutoHyphens w:val="0"/>
              <w:spacing w:after="0" w:line="240" w:lineRule="auto"/>
              <w:jc w:val="both"/>
              <w:rPr>
                <w:rFonts w:ascii="Arial" w:hAnsi="Arial" w:cs="Arial"/>
                <w:lang w:val="en-PH" w:eastAsia="en-PH"/>
              </w:rPr>
            </w:pPr>
            <w:r>
              <w:rPr>
                <w:rFonts w:ascii="Arial" w:hAnsi="Arial" w:cs="Arial"/>
                <w:lang w:val="en-PH" w:eastAsia="en-PH"/>
              </w:rPr>
              <w:t>The granting of COVID-19 Hazard Pay in the total amount of P5.335 million to PCSO officers, employees, JOs and CAs, disclosed the following deficiencies:</w:t>
            </w:r>
          </w:p>
          <w:p>
            <w:pPr>
              <w:suppressAutoHyphens w:val="0"/>
              <w:spacing w:after="0" w:line="240" w:lineRule="auto"/>
              <w:jc w:val="both"/>
              <w:rPr>
                <w:rFonts w:ascii="Arial" w:hAnsi="Arial" w:cs="Arial"/>
                <w:lang w:val="en-PH" w:eastAsia="en-PH"/>
              </w:rPr>
            </w:pPr>
          </w:p>
          <w:p>
            <w:pPr>
              <w:pStyle w:val="ListParagraph"/>
              <w:numPr>
                <w:ilvl w:val="0"/>
                <w:numId w:val="34"/>
              </w:numPr>
              <w:suppressAutoHyphens w:val="0"/>
              <w:spacing w:after="0" w:line="240" w:lineRule="auto"/>
              <w:ind w:left="261" w:hanging="261"/>
              <w:jc w:val="both"/>
              <w:rPr>
                <w:rFonts w:ascii="Arial" w:hAnsi="Arial" w:cs="Arial"/>
                <w:lang w:val="en-PH" w:eastAsia="en-PH"/>
              </w:rPr>
            </w:pPr>
            <w:r>
              <w:rPr>
                <w:rFonts w:ascii="Arial" w:hAnsi="Arial" w:cs="Arial"/>
                <w:lang w:val="en-PH" w:eastAsia="en-PH"/>
              </w:rPr>
              <w:t>The COVID-19 Hazard Pay given to various recipients totaling P4.587 million was not supported with the written authority from the Head of the Agency/Office to physically report for work at their respective offices or work stations on the prescribed working hours, contrary to Section 4.3 of DBM Budget Circular (BC) No. 2020-1 dated March 24, 2020;</w:t>
            </w:r>
          </w:p>
          <w:p>
            <w:pPr>
              <w:pStyle w:val="ListParagraph"/>
              <w:suppressAutoHyphens w:val="0"/>
              <w:spacing w:after="0" w:line="240" w:lineRule="auto"/>
              <w:jc w:val="both"/>
              <w:rPr>
                <w:rFonts w:ascii="Arial" w:hAnsi="Arial" w:cs="Arial"/>
                <w:lang w:val="en-PH" w:eastAsia="en-PH"/>
              </w:rPr>
            </w:pPr>
          </w:p>
          <w:p>
            <w:pPr>
              <w:pStyle w:val="ListParagraph"/>
              <w:numPr>
                <w:ilvl w:val="0"/>
                <w:numId w:val="34"/>
              </w:numPr>
              <w:suppressAutoHyphens w:val="0"/>
              <w:spacing w:after="0" w:line="240" w:lineRule="auto"/>
              <w:ind w:left="261" w:hanging="284"/>
              <w:jc w:val="both"/>
              <w:rPr>
                <w:rFonts w:ascii="Arial" w:hAnsi="Arial" w:cs="Arial"/>
                <w:lang w:val="en-PH" w:eastAsia="en-PH"/>
              </w:rPr>
            </w:pPr>
            <w:r>
              <w:rPr>
                <w:rFonts w:ascii="Arial" w:hAnsi="Arial" w:cs="Arial"/>
                <w:lang w:val="en-PH" w:eastAsia="en-PH"/>
              </w:rPr>
              <w:t>Out of the P4.587 million disbursements for Hazard Pay, P1.074 million were paid to recipients who lacked concrete proof of actual physical presence in the workplace during the Enhanced Community Quarantine (ECQ) and Modified ECQ (MECQ); and</w:t>
            </w:r>
          </w:p>
          <w:p>
            <w:pPr>
              <w:pStyle w:val="ListParagraph"/>
              <w:suppressAutoHyphens w:val="0"/>
              <w:spacing w:after="0" w:line="240" w:lineRule="auto"/>
              <w:ind w:left="261"/>
              <w:jc w:val="both"/>
              <w:rPr>
                <w:rFonts w:ascii="Arial" w:hAnsi="Arial" w:cs="Arial"/>
                <w:lang w:val="en-PH" w:eastAsia="en-PH"/>
              </w:rPr>
            </w:pPr>
          </w:p>
          <w:p>
            <w:pPr>
              <w:pStyle w:val="ListParagraph"/>
              <w:numPr>
                <w:ilvl w:val="0"/>
                <w:numId w:val="34"/>
              </w:numPr>
              <w:suppressAutoHyphens w:val="0"/>
              <w:spacing w:after="0" w:line="240" w:lineRule="auto"/>
              <w:ind w:left="261" w:hanging="261"/>
              <w:jc w:val="both"/>
              <w:rPr>
                <w:rFonts w:ascii="Arial" w:hAnsi="Arial" w:cs="Arial"/>
                <w:lang w:val="en-PH" w:eastAsia="en-PH"/>
              </w:rPr>
            </w:pPr>
            <w:r>
              <w:rPr>
                <w:rFonts w:ascii="Arial" w:hAnsi="Arial" w:cs="Arial"/>
                <w:lang w:val="en-PH" w:eastAsia="en-PH"/>
              </w:rPr>
              <w:t>Payment of COVID-19 Hazard Pay amounting to P236</w:t>
            </w:r>
            <w:proofErr w:type="gramStart"/>
            <w:r>
              <w:rPr>
                <w:rFonts w:ascii="Arial" w:hAnsi="Arial" w:cs="Arial"/>
                <w:lang w:val="en-PH" w:eastAsia="en-PH"/>
              </w:rPr>
              <w:t>,000</w:t>
            </w:r>
            <w:proofErr w:type="gramEnd"/>
            <w:r>
              <w:rPr>
                <w:rFonts w:ascii="Arial" w:hAnsi="Arial" w:cs="Arial"/>
                <w:lang w:val="en-PH" w:eastAsia="en-PH"/>
              </w:rPr>
              <w:t xml:space="preserve"> was inconsistent with the guidelines and conditions set forth under Sections 4.4 and 4.5 of DBM BC No. 2020-1, resulting in overpayment by the same amount.</w:t>
            </w:r>
          </w:p>
        </w:tc>
        <w:tc>
          <w:tcPr>
            <w:tcW w:w="3047" w:type="dxa"/>
            <w:tcBorders>
              <w:bottom w:val="single" w:sz="4" w:space="0" w:color="auto"/>
            </w:tcBorders>
            <w:shd w:val="clear" w:color="auto" w:fill="auto"/>
          </w:tcPr>
          <w:p>
            <w:pPr>
              <w:spacing w:after="0" w:line="240" w:lineRule="auto"/>
              <w:jc w:val="both"/>
              <w:rPr>
                <w:rFonts w:ascii="Arial" w:hAnsi="Arial" w:cs="Arial"/>
                <w:iCs/>
              </w:rPr>
            </w:pPr>
          </w:p>
          <w:p>
            <w:pPr>
              <w:spacing w:after="0" w:line="240" w:lineRule="auto"/>
              <w:jc w:val="both"/>
              <w:rPr>
                <w:rFonts w:ascii="Arial" w:hAnsi="Arial" w:cs="Arial"/>
                <w:iCs/>
              </w:rPr>
            </w:pPr>
          </w:p>
          <w:p>
            <w:pPr>
              <w:spacing w:after="0" w:line="240" w:lineRule="auto"/>
              <w:jc w:val="both"/>
              <w:rPr>
                <w:rFonts w:ascii="Arial" w:hAnsi="Arial" w:cs="Arial"/>
                <w:iCs/>
              </w:rPr>
            </w:pPr>
          </w:p>
          <w:p>
            <w:pPr>
              <w:spacing w:after="0" w:line="240" w:lineRule="auto"/>
              <w:jc w:val="both"/>
              <w:rPr>
                <w:rFonts w:ascii="Arial" w:hAnsi="Arial" w:cs="Arial"/>
                <w:iCs/>
              </w:rPr>
            </w:pPr>
          </w:p>
          <w:p>
            <w:pPr>
              <w:spacing w:after="0" w:line="240" w:lineRule="auto"/>
              <w:jc w:val="both"/>
              <w:rPr>
                <w:rFonts w:ascii="Arial" w:hAnsi="Arial" w:cs="Arial"/>
                <w:iCs/>
              </w:rPr>
            </w:pPr>
            <w:r>
              <w:rPr>
                <w:rFonts w:ascii="Arial" w:hAnsi="Arial" w:cs="Arial"/>
                <w:iCs/>
              </w:rPr>
              <w:t>We recommended that Management:</w:t>
            </w:r>
          </w:p>
          <w:p>
            <w:pPr>
              <w:spacing w:after="0" w:line="240" w:lineRule="auto"/>
              <w:jc w:val="both"/>
              <w:rPr>
                <w:rFonts w:ascii="Arial" w:hAnsi="Arial" w:cs="Arial"/>
                <w:iCs/>
              </w:rPr>
            </w:pPr>
          </w:p>
          <w:p>
            <w:pPr>
              <w:pStyle w:val="ListParagraph"/>
              <w:numPr>
                <w:ilvl w:val="0"/>
                <w:numId w:val="40"/>
              </w:numPr>
              <w:spacing w:after="0" w:line="240" w:lineRule="auto"/>
              <w:ind w:left="389" w:hanging="389"/>
              <w:jc w:val="both"/>
              <w:rPr>
                <w:rFonts w:ascii="Arial" w:hAnsi="Arial" w:cs="Arial"/>
                <w:iCs/>
              </w:rPr>
            </w:pPr>
            <w:r>
              <w:rPr>
                <w:rFonts w:ascii="Arial" w:hAnsi="Arial" w:cs="Arial"/>
                <w:iCs/>
              </w:rPr>
              <w:t xml:space="preserve">Require the Human Resource Department (HRD) and ABD to submit: </w:t>
            </w:r>
          </w:p>
          <w:p>
            <w:pPr>
              <w:pStyle w:val="ListParagraph"/>
              <w:spacing w:after="0" w:line="240" w:lineRule="auto"/>
              <w:ind w:left="389"/>
              <w:jc w:val="both"/>
              <w:rPr>
                <w:rFonts w:ascii="Arial" w:hAnsi="Arial" w:cs="Arial"/>
                <w:iCs/>
              </w:rPr>
            </w:pPr>
          </w:p>
          <w:p>
            <w:pPr>
              <w:pStyle w:val="ListParagraph"/>
              <w:spacing w:after="0" w:line="240" w:lineRule="auto"/>
              <w:ind w:left="389"/>
              <w:jc w:val="both"/>
              <w:rPr>
                <w:rFonts w:ascii="Arial" w:hAnsi="Arial" w:cs="Arial"/>
                <w:iCs/>
              </w:rPr>
            </w:pPr>
            <w:r>
              <w:rPr>
                <w:rFonts w:ascii="Arial" w:hAnsi="Arial" w:cs="Arial"/>
                <w:iCs/>
              </w:rPr>
              <w:t>(</w:t>
            </w:r>
            <w:proofErr w:type="spellStart"/>
            <w:r>
              <w:rPr>
                <w:rFonts w:ascii="Arial" w:hAnsi="Arial" w:cs="Arial"/>
                <w:iCs/>
              </w:rPr>
              <w:t>i</w:t>
            </w:r>
            <w:proofErr w:type="spellEnd"/>
            <w:r>
              <w:rPr>
                <w:rFonts w:ascii="Arial" w:hAnsi="Arial" w:cs="Arial"/>
                <w:iCs/>
              </w:rPr>
              <w:t xml:space="preserve">) Written authority from the head of the agency/office of the personnel concerned who physically reported for work at their respective office or work station on the prescribed working hours; and </w:t>
            </w:r>
          </w:p>
          <w:p>
            <w:pPr>
              <w:pStyle w:val="ListParagraph"/>
              <w:spacing w:after="0" w:line="240" w:lineRule="auto"/>
              <w:ind w:left="389"/>
              <w:jc w:val="both"/>
              <w:rPr>
                <w:rFonts w:ascii="Arial" w:hAnsi="Arial" w:cs="Arial"/>
                <w:iCs/>
              </w:rPr>
            </w:pPr>
          </w:p>
          <w:p>
            <w:pPr>
              <w:pStyle w:val="ListParagraph"/>
              <w:spacing w:after="0" w:line="240" w:lineRule="auto"/>
              <w:ind w:left="389"/>
              <w:jc w:val="both"/>
              <w:rPr>
                <w:rFonts w:ascii="Arial" w:hAnsi="Arial" w:cs="Arial"/>
                <w:iCs/>
              </w:rPr>
            </w:pPr>
            <w:r>
              <w:rPr>
                <w:rFonts w:ascii="Arial" w:hAnsi="Arial" w:cs="Arial"/>
                <w:iCs/>
              </w:rPr>
              <w:t>(ii) Daily Time Records/proof of attendance, duly approved by the respective department/office/unit head for the recipients of COVID-19 Hazard pay totaling to P1.074 million, to avoid issuance of Notice of Suspension.</w:t>
            </w: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p>
            <w:pPr>
              <w:pStyle w:val="ListParagraph"/>
              <w:spacing w:after="0" w:line="240" w:lineRule="auto"/>
              <w:ind w:left="0"/>
              <w:jc w:val="both"/>
              <w:rPr>
                <w:rFonts w:ascii="Arial" w:hAnsi="Arial" w:cs="Arial"/>
                <w:iCs/>
              </w:rPr>
            </w:pPr>
          </w:p>
          <w:p>
            <w:pPr>
              <w:pStyle w:val="ListParagraph"/>
              <w:spacing w:after="0" w:line="240" w:lineRule="auto"/>
              <w:ind w:left="0"/>
              <w:jc w:val="both"/>
              <w:rPr>
                <w:rFonts w:ascii="Arial" w:hAnsi="Arial" w:cs="Arial"/>
                <w:iCs/>
              </w:rPr>
            </w:pPr>
          </w:p>
          <w:p>
            <w:pPr>
              <w:pStyle w:val="ListParagraph"/>
              <w:spacing w:after="0" w:line="240" w:lineRule="auto"/>
              <w:ind w:left="0"/>
              <w:jc w:val="both"/>
              <w:rPr>
                <w:rFonts w:ascii="Arial" w:hAnsi="Arial" w:cs="Arial"/>
                <w:iCs/>
              </w:rPr>
            </w:pPr>
            <w:r>
              <w:rPr>
                <w:rFonts w:ascii="Arial" w:hAnsi="Arial" w:cs="Arial"/>
                <w:iCs/>
              </w:rPr>
              <w:t>b. Instruct the personnel concerned who availed of the COVID-19 Hazard Pay amounting to P236</w:t>
            </w:r>
            <w:proofErr w:type="gramStart"/>
            <w:r>
              <w:rPr>
                <w:rFonts w:ascii="Arial" w:hAnsi="Arial" w:cs="Arial"/>
                <w:iCs/>
              </w:rPr>
              <w:t>,000</w:t>
            </w:r>
            <w:proofErr w:type="gramEnd"/>
            <w:r>
              <w:rPr>
                <w:rFonts w:ascii="Arial" w:hAnsi="Arial" w:cs="Arial"/>
                <w:iCs/>
              </w:rPr>
              <w:t xml:space="preserve"> to refund the amount received, otherwise a Notice of Disallowance will be issued.</w:t>
            </w:r>
          </w:p>
          <w:p>
            <w:pPr>
              <w:pStyle w:val="ListParagraph"/>
              <w:spacing w:after="0" w:line="240" w:lineRule="auto"/>
              <w:jc w:val="both"/>
              <w:rPr>
                <w:rFonts w:ascii="Arial" w:hAnsi="Arial" w:cs="Arial"/>
                <w:iCs/>
              </w:rPr>
            </w:pPr>
          </w:p>
          <w:p>
            <w:pPr>
              <w:pStyle w:val="ListParagraph"/>
              <w:spacing w:after="0" w:line="240" w:lineRule="auto"/>
              <w:jc w:val="both"/>
              <w:rPr>
                <w:rFonts w:ascii="Arial" w:hAnsi="Arial" w:cs="Arial"/>
                <w:iCs/>
              </w:rPr>
            </w:pPr>
          </w:p>
        </w:tc>
        <w:tc>
          <w:tcPr>
            <w:tcW w:w="1903" w:type="dxa"/>
            <w:tcBorders>
              <w:bottom w:val="single" w:sz="4" w:space="0" w:color="auto"/>
            </w:tcBorders>
            <w:shd w:val="clear" w:color="auto" w:fill="auto"/>
          </w:tcPr>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Fully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The collection of the disallowed Hazard Pay has started June 2021.  Collections amounting to P56</w:t>
            </w:r>
            <w:proofErr w:type="gramStart"/>
            <w:r>
              <w:rPr>
                <w:rFonts w:ascii="Arial" w:hAnsi="Arial" w:cs="Arial"/>
                <w:bCs/>
              </w:rPr>
              <w:t>,500</w:t>
            </w:r>
            <w:proofErr w:type="gramEnd"/>
            <w:r>
              <w:rPr>
                <w:rFonts w:ascii="Arial" w:hAnsi="Arial" w:cs="Arial"/>
                <w:bCs/>
              </w:rPr>
              <w:t xml:space="preserve"> has been made of the disallowed Hazard Pay of Jos and Confidential Agents.</w:t>
            </w:r>
          </w:p>
        </w:tc>
      </w:tr>
    </w:tbl>
    <w:p>
      <w:pPr>
        <w:spacing w:after="0" w:line="240" w:lineRule="auto"/>
        <w:jc w:val="both"/>
        <w:rPr>
          <w:rFonts w:ascii="Arial" w:hAnsi="Arial" w:cs="Arial"/>
        </w:rPr>
      </w:pPr>
    </w:p>
    <w:sectPr>
      <w:footerReference w:type="default" r:id="rId8"/>
      <w:pgSz w:w="12240" w:h="15840"/>
      <w:pgMar w:top="1440" w:right="1440" w:bottom="1440" w:left="1440" w:header="720" w:footer="720" w:gutter="0"/>
      <w:pgNumType w:start="17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3591281"/>
      <w:docPartObj>
        <w:docPartGallery w:val="Page Numbers (Bottom of Page)"/>
        <w:docPartUnique/>
      </w:docPartObj>
    </w:sdtPr>
    <w:sdtEndPr>
      <w:rPr>
        <w:rFonts w:ascii="Arial" w:hAnsi="Arial" w:cs="Arial"/>
        <w:noProof/>
        <w:sz w:val="20"/>
        <w:szCs w:val="20"/>
      </w:rPr>
    </w:sdtEndPr>
    <w:sdtContent>
      <w:p>
        <w:pPr>
          <w:pStyle w:val="Footer"/>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Pr>
            <w:rFonts w:ascii="Arial" w:hAnsi="Arial" w:cs="Arial"/>
            <w:noProof/>
            <w:sz w:val="20"/>
            <w:szCs w:val="20"/>
          </w:rPr>
          <w:t>180</w:t>
        </w:r>
        <w:r>
          <w:rPr>
            <w:rFonts w:ascii="Arial" w:hAnsi="Arial" w:cs="Arial"/>
            <w:noProof/>
            <w:sz w:val="20"/>
            <w:szCs w:val="20"/>
          </w:rPr>
          <w:fldChar w:fldCharType="end"/>
        </w:r>
      </w:p>
    </w:sdtContent>
  </w:sdt>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8C9"/>
    <w:multiLevelType w:val="hybridMultilevel"/>
    <w:tmpl w:val="6E44C862"/>
    <w:lvl w:ilvl="0" w:tplc="094268E4">
      <w:start w:val="1"/>
      <w:numFmt w:val="lowerLetter"/>
      <w:lvlText w:val="%1."/>
      <w:lvlJc w:val="left"/>
      <w:pPr>
        <w:ind w:left="2160" w:hanging="360"/>
      </w:pPr>
      <w:rPr>
        <w:b w:val="0"/>
        <w:i w:val="0"/>
      </w:rPr>
    </w:lvl>
    <w:lvl w:ilvl="1" w:tplc="34090019">
      <w:start w:val="1"/>
      <w:numFmt w:val="lowerLetter"/>
      <w:lvlText w:val="%2."/>
      <w:lvlJc w:val="left"/>
      <w:pPr>
        <w:ind w:left="2880" w:hanging="360"/>
      </w:pPr>
    </w:lvl>
    <w:lvl w:ilvl="2" w:tplc="3409001B">
      <w:start w:val="1"/>
      <w:numFmt w:val="lowerRoman"/>
      <w:lvlText w:val="%3."/>
      <w:lvlJc w:val="right"/>
      <w:pPr>
        <w:ind w:left="3600" w:hanging="180"/>
      </w:pPr>
    </w:lvl>
    <w:lvl w:ilvl="3" w:tplc="3409000F">
      <w:start w:val="1"/>
      <w:numFmt w:val="decimal"/>
      <w:lvlText w:val="%4."/>
      <w:lvlJc w:val="left"/>
      <w:pPr>
        <w:ind w:left="4320" w:hanging="360"/>
      </w:pPr>
    </w:lvl>
    <w:lvl w:ilvl="4" w:tplc="34090019">
      <w:start w:val="1"/>
      <w:numFmt w:val="lowerLetter"/>
      <w:lvlText w:val="%5."/>
      <w:lvlJc w:val="left"/>
      <w:pPr>
        <w:ind w:left="5040" w:hanging="360"/>
      </w:pPr>
    </w:lvl>
    <w:lvl w:ilvl="5" w:tplc="3409001B">
      <w:start w:val="1"/>
      <w:numFmt w:val="lowerRoman"/>
      <w:lvlText w:val="%6."/>
      <w:lvlJc w:val="right"/>
      <w:pPr>
        <w:ind w:left="5760" w:hanging="180"/>
      </w:pPr>
    </w:lvl>
    <w:lvl w:ilvl="6" w:tplc="3409000F">
      <w:start w:val="1"/>
      <w:numFmt w:val="decimal"/>
      <w:lvlText w:val="%7."/>
      <w:lvlJc w:val="left"/>
      <w:pPr>
        <w:ind w:left="6480" w:hanging="360"/>
      </w:pPr>
    </w:lvl>
    <w:lvl w:ilvl="7" w:tplc="34090019">
      <w:start w:val="1"/>
      <w:numFmt w:val="lowerLetter"/>
      <w:lvlText w:val="%8."/>
      <w:lvlJc w:val="left"/>
      <w:pPr>
        <w:ind w:left="7200" w:hanging="360"/>
      </w:pPr>
    </w:lvl>
    <w:lvl w:ilvl="8" w:tplc="3409001B">
      <w:start w:val="1"/>
      <w:numFmt w:val="lowerRoman"/>
      <w:lvlText w:val="%9."/>
      <w:lvlJc w:val="right"/>
      <w:pPr>
        <w:ind w:left="7920" w:hanging="180"/>
      </w:pPr>
    </w:lvl>
  </w:abstractNum>
  <w:abstractNum w:abstractNumId="1" w15:restartNumberingAfterBreak="0">
    <w:nsid w:val="01607FAA"/>
    <w:multiLevelType w:val="multilevel"/>
    <w:tmpl w:val="FC141BD6"/>
    <w:lvl w:ilvl="0">
      <w:start w:val="5"/>
      <w:numFmt w:val="decimal"/>
      <w:lvlText w:val="%1."/>
      <w:lvlJc w:val="left"/>
      <w:pPr>
        <w:ind w:left="360" w:hanging="360"/>
      </w:pPr>
      <w:rPr>
        <w:rFonts w:hint="default"/>
        <w:b/>
        <w:sz w:val="22"/>
        <w:szCs w:val="22"/>
      </w:rPr>
    </w:lvl>
    <w:lvl w:ilvl="1">
      <w:start w:val="1"/>
      <w:numFmt w:val="decimal"/>
      <w:lvlText w:val="%1.%2"/>
      <w:lvlJc w:val="left"/>
      <w:pPr>
        <w:ind w:left="786" w:hanging="360"/>
      </w:pPr>
      <w:rPr>
        <w:rFonts w:hint="default"/>
        <w:b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 w15:restartNumberingAfterBreak="0">
    <w:nsid w:val="0FCC35C5"/>
    <w:multiLevelType w:val="hybridMultilevel"/>
    <w:tmpl w:val="958A552C"/>
    <w:lvl w:ilvl="0" w:tplc="C0FE419E">
      <w:start w:val="1"/>
      <w:numFmt w:val="lowerLetter"/>
      <w:lvlText w:val="%1."/>
      <w:lvlJc w:val="left"/>
      <w:pPr>
        <w:ind w:left="739" w:hanging="360"/>
      </w:pPr>
      <w:rPr>
        <w:rFonts w:hint="default"/>
      </w:rPr>
    </w:lvl>
    <w:lvl w:ilvl="1" w:tplc="34090019" w:tentative="1">
      <w:start w:val="1"/>
      <w:numFmt w:val="lowerLetter"/>
      <w:lvlText w:val="%2."/>
      <w:lvlJc w:val="left"/>
      <w:pPr>
        <w:ind w:left="1459" w:hanging="360"/>
      </w:pPr>
    </w:lvl>
    <w:lvl w:ilvl="2" w:tplc="3409001B" w:tentative="1">
      <w:start w:val="1"/>
      <w:numFmt w:val="lowerRoman"/>
      <w:lvlText w:val="%3."/>
      <w:lvlJc w:val="right"/>
      <w:pPr>
        <w:ind w:left="2179" w:hanging="180"/>
      </w:pPr>
    </w:lvl>
    <w:lvl w:ilvl="3" w:tplc="3409000F" w:tentative="1">
      <w:start w:val="1"/>
      <w:numFmt w:val="decimal"/>
      <w:lvlText w:val="%4."/>
      <w:lvlJc w:val="left"/>
      <w:pPr>
        <w:ind w:left="2899" w:hanging="360"/>
      </w:pPr>
    </w:lvl>
    <w:lvl w:ilvl="4" w:tplc="34090019" w:tentative="1">
      <w:start w:val="1"/>
      <w:numFmt w:val="lowerLetter"/>
      <w:lvlText w:val="%5."/>
      <w:lvlJc w:val="left"/>
      <w:pPr>
        <w:ind w:left="3619" w:hanging="360"/>
      </w:pPr>
    </w:lvl>
    <w:lvl w:ilvl="5" w:tplc="3409001B" w:tentative="1">
      <w:start w:val="1"/>
      <w:numFmt w:val="lowerRoman"/>
      <w:lvlText w:val="%6."/>
      <w:lvlJc w:val="right"/>
      <w:pPr>
        <w:ind w:left="4339" w:hanging="180"/>
      </w:pPr>
    </w:lvl>
    <w:lvl w:ilvl="6" w:tplc="3409000F" w:tentative="1">
      <w:start w:val="1"/>
      <w:numFmt w:val="decimal"/>
      <w:lvlText w:val="%7."/>
      <w:lvlJc w:val="left"/>
      <w:pPr>
        <w:ind w:left="5059" w:hanging="360"/>
      </w:pPr>
    </w:lvl>
    <w:lvl w:ilvl="7" w:tplc="34090019" w:tentative="1">
      <w:start w:val="1"/>
      <w:numFmt w:val="lowerLetter"/>
      <w:lvlText w:val="%8."/>
      <w:lvlJc w:val="left"/>
      <w:pPr>
        <w:ind w:left="5779" w:hanging="360"/>
      </w:pPr>
    </w:lvl>
    <w:lvl w:ilvl="8" w:tplc="3409001B" w:tentative="1">
      <w:start w:val="1"/>
      <w:numFmt w:val="lowerRoman"/>
      <w:lvlText w:val="%9."/>
      <w:lvlJc w:val="right"/>
      <w:pPr>
        <w:ind w:left="6499" w:hanging="180"/>
      </w:pPr>
    </w:lvl>
  </w:abstractNum>
  <w:abstractNum w:abstractNumId="3" w15:restartNumberingAfterBreak="0">
    <w:nsid w:val="125040D3"/>
    <w:multiLevelType w:val="hybridMultilevel"/>
    <w:tmpl w:val="71148EE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17E143E9"/>
    <w:multiLevelType w:val="hybridMultilevel"/>
    <w:tmpl w:val="F3C6BD48"/>
    <w:lvl w:ilvl="0" w:tplc="E5C2DA9E">
      <w:start w:val="1"/>
      <w:numFmt w:val="lowerLetter"/>
      <w:lvlText w:val="%1."/>
      <w:lvlJc w:val="left"/>
      <w:pPr>
        <w:ind w:left="1440" w:hanging="360"/>
      </w:pPr>
      <w:rPr>
        <w:rFonts w:hint="default"/>
        <w:b w:val="0"/>
        <w:i w:val="0"/>
        <w:sz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 w15:restartNumberingAfterBreak="0">
    <w:nsid w:val="19807056"/>
    <w:multiLevelType w:val="hybridMultilevel"/>
    <w:tmpl w:val="454871F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1A8B0BD5"/>
    <w:multiLevelType w:val="hybridMultilevel"/>
    <w:tmpl w:val="F05E0C1C"/>
    <w:lvl w:ilvl="0" w:tplc="BF92F3BA">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1F0E22CE"/>
    <w:multiLevelType w:val="multilevel"/>
    <w:tmpl w:val="FBF0C7D6"/>
    <w:lvl w:ilvl="0">
      <w:start w:val="1"/>
      <w:numFmt w:val="decimal"/>
      <w:lvlText w:val="%1."/>
      <w:lvlJc w:val="left"/>
      <w:pPr>
        <w:ind w:left="576" w:hanging="576"/>
      </w:pPr>
      <w:rPr>
        <w:rFonts w:hint="default"/>
        <w:b/>
        <w:i w:val="0"/>
        <w:color w:val="auto"/>
        <w:sz w:val="22"/>
        <w:szCs w:val="22"/>
      </w:rPr>
    </w:lvl>
    <w:lvl w:ilvl="1">
      <w:start w:val="1"/>
      <w:numFmt w:val="decimal"/>
      <w:lvlText w:val="%1.%2"/>
      <w:lvlJc w:val="left"/>
      <w:pPr>
        <w:ind w:left="1288" w:hanging="720"/>
      </w:pPr>
      <w:rPr>
        <w:rFonts w:ascii="Arial" w:hAnsi="Arial" w:cs="Arial"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FA5ED8"/>
    <w:multiLevelType w:val="hybridMultilevel"/>
    <w:tmpl w:val="721E475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252B165B"/>
    <w:multiLevelType w:val="hybridMultilevel"/>
    <w:tmpl w:val="9F224EE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25607B22"/>
    <w:multiLevelType w:val="hybridMultilevel"/>
    <w:tmpl w:val="A686F01C"/>
    <w:lvl w:ilvl="0" w:tplc="B412C15E">
      <w:start w:val="1"/>
      <w:numFmt w:val="lowerLetter"/>
      <w:lvlText w:val="%1."/>
      <w:lvlJc w:val="left"/>
      <w:pPr>
        <w:ind w:left="720" w:hanging="360"/>
      </w:pPr>
      <w:rPr>
        <w:rFonts w:eastAsia="Calibri"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2832382D"/>
    <w:multiLevelType w:val="hybridMultilevel"/>
    <w:tmpl w:val="92B6B6E4"/>
    <w:lvl w:ilvl="0" w:tplc="34090019">
      <w:start w:val="1"/>
      <w:numFmt w:val="lowerLetter"/>
      <w:lvlText w:val="%1."/>
      <w:lvlJc w:val="left"/>
      <w:pPr>
        <w:ind w:left="502" w:hanging="360"/>
      </w:pPr>
      <w:rPr>
        <w:sz w:val="22"/>
      </w:rPr>
    </w:lvl>
    <w:lvl w:ilvl="1" w:tplc="34090019">
      <w:start w:val="1"/>
      <w:numFmt w:val="lowerLetter"/>
      <w:lvlText w:val="%2."/>
      <w:lvlJc w:val="left"/>
      <w:pPr>
        <w:ind w:left="1222" w:hanging="360"/>
      </w:pPr>
    </w:lvl>
    <w:lvl w:ilvl="2" w:tplc="3409001B">
      <w:start w:val="1"/>
      <w:numFmt w:val="lowerRoman"/>
      <w:lvlText w:val="%3."/>
      <w:lvlJc w:val="right"/>
      <w:pPr>
        <w:ind w:left="1942" w:hanging="180"/>
      </w:pPr>
    </w:lvl>
    <w:lvl w:ilvl="3" w:tplc="3409000F">
      <w:start w:val="1"/>
      <w:numFmt w:val="decimal"/>
      <w:lvlText w:val="%4."/>
      <w:lvlJc w:val="left"/>
      <w:pPr>
        <w:ind w:left="2662" w:hanging="360"/>
      </w:pPr>
    </w:lvl>
    <w:lvl w:ilvl="4" w:tplc="34090019">
      <w:start w:val="1"/>
      <w:numFmt w:val="lowerLetter"/>
      <w:lvlText w:val="%5."/>
      <w:lvlJc w:val="left"/>
      <w:pPr>
        <w:ind w:left="3382" w:hanging="360"/>
      </w:pPr>
    </w:lvl>
    <w:lvl w:ilvl="5" w:tplc="3409001B">
      <w:start w:val="1"/>
      <w:numFmt w:val="lowerRoman"/>
      <w:lvlText w:val="%6."/>
      <w:lvlJc w:val="right"/>
      <w:pPr>
        <w:ind w:left="4102" w:hanging="180"/>
      </w:pPr>
    </w:lvl>
    <w:lvl w:ilvl="6" w:tplc="3409000F">
      <w:start w:val="1"/>
      <w:numFmt w:val="decimal"/>
      <w:lvlText w:val="%7."/>
      <w:lvlJc w:val="left"/>
      <w:pPr>
        <w:ind w:left="4822" w:hanging="360"/>
      </w:pPr>
    </w:lvl>
    <w:lvl w:ilvl="7" w:tplc="34090019">
      <w:start w:val="1"/>
      <w:numFmt w:val="lowerLetter"/>
      <w:lvlText w:val="%8."/>
      <w:lvlJc w:val="left"/>
      <w:pPr>
        <w:ind w:left="5542" w:hanging="360"/>
      </w:pPr>
    </w:lvl>
    <w:lvl w:ilvl="8" w:tplc="3409001B">
      <w:start w:val="1"/>
      <w:numFmt w:val="lowerRoman"/>
      <w:lvlText w:val="%9."/>
      <w:lvlJc w:val="right"/>
      <w:pPr>
        <w:ind w:left="6262" w:hanging="180"/>
      </w:pPr>
    </w:lvl>
  </w:abstractNum>
  <w:abstractNum w:abstractNumId="12" w15:restartNumberingAfterBreak="0">
    <w:nsid w:val="28E2324F"/>
    <w:multiLevelType w:val="multilevel"/>
    <w:tmpl w:val="9FF87064"/>
    <w:lvl w:ilvl="0">
      <w:start w:val="3"/>
      <w:numFmt w:val="decimal"/>
      <w:lvlText w:val="%1"/>
      <w:lvlJc w:val="left"/>
      <w:pPr>
        <w:ind w:left="360" w:hanging="360"/>
      </w:pPr>
    </w:lvl>
    <w:lvl w:ilvl="1">
      <w:start w:val="1"/>
      <w:numFmt w:val="decimal"/>
      <w:lvlText w:val="%1.%2"/>
      <w:lvlJc w:val="left"/>
      <w:pPr>
        <w:ind w:left="1080" w:hanging="360"/>
      </w:pPr>
      <w:rPr>
        <w:color w:val="000000" w:themeColor="text1"/>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C3D5DDC"/>
    <w:multiLevelType w:val="hybridMultilevel"/>
    <w:tmpl w:val="93661AEC"/>
    <w:lvl w:ilvl="0" w:tplc="55201AA8">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301A1CD6"/>
    <w:multiLevelType w:val="hybridMultilevel"/>
    <w:tmpl w:val="CC36DC18"/>
    <w:lvl w:ilvl="0" w:tplc="8FD21684">
      <w:start w:val="1"/>
      <w:numFmt w:val="lowerLetter"/>
      <w:lvlText w:val="%1."/>
      <w:lvlJc w:val="left"/>
      <w:pPr>
        <w:ind w:left="1778" w:hanging="360"/>
      </w:pPr>
      <w:rPr>
        <w:i w:val="0"/>
        <w:sz w:val="22"/>
      </w:rPr>
    </w:lvl>
    <w:lvl w:ilvl="1" w:tplc="34090019">
      <w:start w:val="1"/>
      <w:numFmt w:val="lowerLetter"/>
      <w:lvlText w:val="%2."/>
      <w:lvlJc w:val="left"/>
      <w:pPr>
        <w:ind w:left="2498" w:hanging="360"/>
      </w:pPr>
    </w:lvl>
    <w:lvl w:ilvl="2" w:tplc="3409001B">
      <w:start w:val="1"/>
      <w:numFmt w:val="lowerRoman"/>
      <w:lvlText w:val="%3."/>
      <w:lvlJc w:val="right"/>
      <w:pPr>
        <w:ind w:left="3218" w:hanging="180"/>
      </w:pPr>
    </w:lvl>
    <w:lvl w:ilvl="3" w:tplc="3409000F">
      <w:start w:val="1"/>
      <w:numFmt w:val="decimal"/>
      <w:lvlText w:val="%4."/>
      <w:lvlJc w:val="left"/>
      <w:pPr>
        <w:ind w:left="3938" w:hanging="360"/>
      </w:pPr>
    </w:lvl>
    <w:lvl w:ilvl="4" w:tplc="34090019">
      <w:start w:val="1"/>
      <w:numFmt w:val="lowerLetter"/>
      <w:lvlText w:val="%5."/>
      <w:lvlJc w:val="left"/>
      <w:pPr>
        <w:ind w:left="4658" w:hanging="360"/>
      </w:pPr>
    </w:lvl>
    <w:lvl w:ilvl="5" w:tplc="3409001B">
      <w:start w:val="1"/>
      <w:numFmt w:val="lowerRoman"/>
      <w:lvlText w:val="%6."/>
      <w:lvlJc w:val="right"/>
      <w:pPr>
        <w:ind w:left="5378" w:hanging="180"/>
      </w:pPr>
    </w:lvl>
    <w:lvl w:ilvl="6" w:tplc="3409000F">
      <w:start w:val="1"/>
      <w:numFmt w:val="decimal"/>
      <w:lvlText w:val="%7."/>
      <w:lvlJc w:val="left"/>
      <w:pPr>
        <w:ind w:left="6098" w:hanging="360"/>
      </w:pPr>
    </w:lvl>
    <w:lvl w:ilvl="7" w:tplc="34090019">
      <w:start w:val="1"/>
      <w:numFmt w:val="lowerLetter"/>
      <w:lvlText w:val="%8."/>
      <w:lvlJc w:val="left"/>
      <w:pPr>
        <w:ind w:left="6818" w:hanging="360"/>
      </w:pPr>
    </w:lvl>
    <w:lvl w:ilvl="8" w:tplc="3409001B">
      <w:start w:val="1"/>
      <w:numFmt w:val="lowerRoman"/>
      <w:lvlText w:val="%9."/>
      <w:lvlJc w:val="right"/>
      <w:pPr>
        <w:ind w:left="7538" w:hanging="180"/>
      </w:pPr>
    </w:lvl>
  </w:abstractNum>
  <w:abstractNum w:abstractNumId="15" w15:restartNumberingAfterBreak="0">
    <w:nsid w:val="3DEA0155"/>
    <w:multiLevelType w:val="hybridMultilevel"/>
    <w:tmpl w:val="277636C2"/>
    <w:lvl w:ilvl="0" w:tplc="55201AA8">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3F183B7A"/>
    <w:multiLevelType w:val="hybridMultilevel"/>
    <w:tmpl w:val="FDC0613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40A54713"/>
    <w:multiLevelType w:val="hybridMultilevel"/>
    <w:tmpl w:val="F0882184"/>
    <w:lvl w:ilvl="0" w:tplc="DEE45F7C">
      <w:start w:val="1"/>
      <w:numFmt w:val="lowerLetter"/>
      <w:lvlText w:val="%1."/>
      <w:lvlJc w:val="left"/>
      <w:pPr>
        <w:ind w:left="1440" w:hanging="360"/>
      </w:pPr>
      <w:rPr>
        <w:rFonts w:hint="default"/>
        <w:b w:val="0"/>
        <w:i w:val="0"/>
        <w:sz w:val="22"/>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451F7AD1"/>
    <w:multiLevelType w:val="hybridMultilevel"/>
    <w:tmpl w:val="3EB876B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4AAC72F1"/>
    <w:multiLevelType w:val="hybridMultilevel"/>
    <w:tmpl w:val="7BA848E2"/>
    <w:lvl w:ilvl="0" w:tplc="A26EE94A">
      <w:start w:val="1"/>
      <w:numFmt w:val="low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CAF1AFC"/>
    <w:multiLevelType w:val="hybridMultilevel"/>
    <w:tmpl w:val="F290060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4F7B6C13"/>
    <w:multiLevelType w:val="hybridMultilevel"/>
    <w:tmpl w:val="63589A7A"/>
    <w:lvl w:ilvl="0" w:tplc="F83E0E50">
      <w:start w:val="1"/>
      <w:numFmt w:val="lowerLetter"/>
      <w:lvlText w:val="%1."/>
      <w:lvlJc w:val="left"/>
      <w:pPr>
        <w:ind w:left="1800" w:hanging="360"/>
      </w:pPr>
    </w:lvl>
    <w:lvl w:ilvl="1" w:tplc="34090019">
      <w:start w:val="1"/>
      <w:numFmt w:val="lowerLetter"/>
      <w:lvlText w:val="%2."/>
      <w:lvlJc w:val="left"/>
      <w:pPr>
        <w:ind w:left="2520" w:hanging="360"/>
      </w:pPr>
    </w:lvl>
    <w:lvl w:ilvl="2" w:tplc="3409001B">
      <w:start w:val="1"/>
      <w:numFmt w:val="lowerRoman"/>
      <w:lvlText w:val="%3."/>
      <w:lvlJc w:val="right"/>
      <w:pPr>
        <w:ind w:left="3240" w:hanging="180"/>
      </w:pPr>
    </w:lvl>
    <w:lvl w:ilvl="3" w:tplc="3409000F">
      <w:start w:val="1"/>
      <w:numFmt w:val="decimal"/>
      <w:lvlText w:val="%4."/>
      <w:lvlJc w:val="left"/>
      <w:pPr>
        <w:ind w:left="3960" w:hanging="360"/>
      </w:pPr>
    </w:lvl>
    <w:lvl w:ilvl="4" w:tplc="34090019">
      <w:start w:val="1"/>
      <w:numFmt w:val="lowerLetter"/>
      <w:lvlText w:val="%5."/>
      <w:lvlJc w:val="left"/>
      <w:pPr>
        <w:ind w:left="4680" w:hanging="360"/>
      </w:pPr>
    </w:lvl>
    <w:lvl w:ilvl="5" w:tplc="3409001B">
      <w:start w:val="1"/>
      <w:numFmt w:val="lowerRoman"/>
      <w:lvlText w:val="%6."/>
      <w:lvlJc w:val="right"/>
      <w:pPr>
        <w:ind w:left="5400" w:hanging="180"/>
      </w:pPr>
    </w:lvl>
    <w:lvl w:ilvl="6" w:tplc="3409000F">
      <w:start w:val="1"/>
      <w:numFmt w:val="decimal"/>
      <w:lvlText w:val="%7."/>
      <w:lvlJc w:val="left"/>
      <w:pPr>
        <w:ind w:left="6120" w:hanging="360"/>
      </w:pPr>
    </w:lvl>
    <w:lvl w:ilvl="7" w:tplc="34090019">
      <w:start w:val="1"/>
      <w:numFmt w:val="lowerLetter"/>
      <w:lvlText w:val="%8."/>
      <w:lvlJc w:val="left"/>
      <w:pPr>
        <w:ind w:left="6840" w:hanging="360"/>
      </w:pPr>
    </w:lvl>
    <w:lvl w:ilvl="8" w:tplc="3409001B">
      <w:start w:val="1"/>
      <w:numFmt w:val="lowerRoman"/>
      <w:lvlText w:val="%9."/>
      <w:lvlJc w:val="right"/>
      <w:pPr>
        <w:ind w:left="7560" w:hanging="180"/>
      </w:pPr>
    </w:lvl>
  </w:abstractNum>
  <w:abstractNum w:abstractNumId="22" w15:restartNumberingAfterBreak="0">
    <w:nsid w:val="509642B4"/>
    <w:multiLevelType w:val="hybridMultilevel"/>
    <w:tmpl w:val="ACB895F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519E60CE"/>
    <w:multiLevelType w:val="hybridMultilevel"/>
    <w:tmpl w:val="31D063CC"/>
    <w:lvl w:ilvl="0" w:tplc="F4A06536">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4" w15:restartNumberingAfterBreak="0">
    <w:nsid w:val="568A3D2F"/>
    <w:multiLevelType w:val="hybridMultilevel"/>
    <w:tmpl w:val="F906E0CC"/>
    <w:lvl w:ilvl="0" w:tplc="EFA66156">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57523E4F"/>
    <w:multiLevelType w:val="hybridMultilevel"/>
    <w:tmpl w:val="F3C6BD48"/>
    <w:lvl w:ilvl="0" w:tplc="E5C2DA9E">
      <w:start w:val="1"/>
      <w:numFmt w:val="lowerLetter"/>
      <w:lvlText w:val="%1."/>
      <w:lvlJc w:val="left"/>
      <w:pPr>
        <w:ind w:left="1440" w:hanging="360"/>
      </w:pPr>
      <w:rPr>
        <w:rFonts w:hint="default"/>
        <w:b w:val="0"/>
        <w:i w:val="0"/>
        <w:sz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6" w15:restartNumberingAfterBreak="0">
    <w:nsid w:val="57D24D3B"/>
    <w:multiLevelType w:val="hybridMultilevel"/>
    <w:tmpl w:val="268C2E76"/>
    <w:lvl w:ilvl="0" w:tplc="C5D8701E">
      <w:start w:val="1"/>
      <w:numFmt w:val="lowerLetter"/>
      <w:lvlText w:val="%1."/>
      <w:lvlJc w:val="left"/>
      <w:pPr>
        <w:ind w:left="936" w:hanging="360"/>
      </w:pPr>
      <w:rPr>
        <w:b w:val="0"/>
      </w:rPr>
    </w:lvl>
    <w:lvl w:ilvl="1" w:tplc="34090019">
      <w:start w:val="1"/>
      <w:numFmt w:val="lowerLetter"/>
      <w:lvlText w:val="%2."/>
      <w:lvlJc w:val="left"/>
      <w:pPr>
        <w:ind w:left="1656" w:hanging="360"/>
      </w:pPr>
    </w:lvl>
    <w:lvl w:ilvl="2" w:tplc="3409001B">
      <w:start w:val="1"/>
      <w:numFmt w:val="lowerRoman"/>
      <w:lvlText w:val="%3."/>
      <w:lvlJc w:val="right"/>
      <w:pPr>
        <w:ind w:left="2376" w:hanging="180"/>
      </w:pPr>
    </w:lvl>
    <w:lvl w:ilvl="3" w:tplc="3409000F">
      <w:start w:val="1"/>
      <w:numFmt w:val="decimal"/>
      <w:lvlText w:val="%4."/>
      <w:lvlJc w:val="left"/>
      <w:pPr>
        <w:ind w:left="3096" w:hanging="360"/>
      </w:pPr>
    </w:lvl>
    <w:lvl w:ilvl="4" w:tplc="34090019">
      <w:start w:val="1"/>
      <w:numFmt w:val="lowerLetter"/>
      <w:lvlText w:val="%5."/>
      <w:lvlJc w:val="left"/>
      <w:pPr>
        <w:ind w:left="3816" w:hanging="360"/>
      </w:pPr>
    </w:lvl>
    <w:lvl w:ilvl="5" w:tplc="3409001B">
      <w:start w:val="1"/>
      <w:numFmt w:val="lowerRoman"/>
      <w:lvlText w:val="%6."/>
      <w:lvlJc w:val="right"/>
      <w:pPr>
        <w:ind w:left="4536" w:hanging="180"/>
      </w:pPr>
    </w:lvl>
    <w:lvl w:ilvl="6" w:tplc="3409000F">
      <w:start w:val="1"/>
      <w:numFmt w:val="decimal"/>
      <w:lvlText w:val="%7."/>
      <w:lvlJc w:val="left"/>
      <w:pPr>
        <w:ind w:left="5256" w:hanging="360"/>
      </w:pPr>
    </w:lvl>
    <w:lvl w:ilvl="7" w:tplc="34090019">
      <w:start w:val="1"/>
      <w:numFmt w:val="lowerLetter"/>
      <w:lvlText w:val="%8."/>
      <w:lvlJc w:val="left"/>
      <w:pPr>
        <w:ind w:left="5976" w:hanging="360"/>
      </w:pPr>
    </w:lvl>
    <w:lvl w:ilvl="8" w:tplc="3409001B">
      <w:start w:val="1"/>
      <w:numFmt w:val="lowerRoman"/>
      <w:lvlText w:val="%9."/>
      <w:lvlJc w:val="right"/>
      <w:pPr>
        <w:ind w:left="6696" w:hanging="180"/>
      </w:pPr>
    </w:lvl>
  </w:abstractNum>
  <w:abstractNum w:abstractNumId="27" w15:restartNumberingAfterBreak="0">
    <w:nsid w:val="58D828FE"/>
    <w:multiLevelType w:val="hybridMultilevel"/>
    <w:tmpl w:val="9D5ECA08"/>
    <w:lvl w:ilvl="0" w:tplc="34090019">
      <w:start w:val="1"/>
      <w:numFmt w:val="lowerLetter"/>
      <w:lvlText w:val="%1."/>
      <w:lvlJc w:val="left"/>
      <w:pPr>
        <w:ind w:left="2160" w:hanging="360"/>
      </w:pPr>
    </w:lvl>
    <w:lvl w:ilvl="1" w:tplc="34090019">
      <w:start w:val="1"/>
      <w:numFmt w:val="lowerLetter"/>
      <w:lvlText w:val="%2."/>
      <w:lvlJc w:val="left"/>
      <w:pPr>
        <w:ind w:left="2880" w:hanging="360"/>
      </w:pPr>
    </w:lvl>
    <w:lvl w:ilvl="2" w:tplc="3409001B">
      <w:start w:val="1"/>
      <w:numFmt w:val="lowerRoman"/>
      <w:lvlText w:val="%3."/>
      <w:lvlJc w:val="right"/>
      <w:pPr>
        <w:ind w:left="3600" w:hanging="180"/>
      </w:pPr>
    </w:lvl>
    <w:lvl w:ilvl="3" w:tplc="3409000F">
      <w:start w:val="1"/>
      <w:numFmt w:val="decimal"/>
      <w:lvlText w:val="%4."/>
      <w:lvlJc w:val="left"/>
      <w:pPr>
        <w:ind w:left="4320" w:hanging="360"/>
      </w:pPr>
    </w:lvl>
    <w:lvl w:ilvl="4" w:tplc="34090019">
      <w:start w:val="1"/>
      <w:numFmt w:val="lowerLetter"/>
      <w:lvlText w:val="%5."/>
      <w:lvlJc w:val="left"/>
      <w:pPr>
        <w:ind w:left="5040" w:hanging="360"/>
      </w:pPr>
    </w:lvl>
    <w:lvl w:ilvl="5" w:tplc="3409001B">
      <w:start w:val="1"/>
      <w:numFmt w:val="lowerRoman"/>
      <w:lvlText w:val="%6."/>
      <w:lvlJc w:val="right"/>
      <w:pPr>
        <w:ind w:left="5760" w:hanging="180"/>
      </w:pPr>
    </w:lvl>
    <w:lvl w:ilvl="6" w:tplc="3409000F">
      <w:start w:val="1"/>
      <w:numFmt w:val="decimal"/>
      <w:lvlText w:val="%7."/>
      <w:lvlJc w:val="left"/>
      <w:pPr>
        <w:ind w:left="6480" w:hanging="360"/>
      </w:pPr>
    </w:lvl>
    <w:lvl w:ilvl="7" w:tplc="34090019">
      <w:start w:val="1"/>
      <w:numFmt w:val="lowerLetter"/>
      <w:lvlText w:val="%8."/>
      <w:lvlJc w:val="left"/>
      <w:pPr>
        <w:ind w:left="7200" w:hanging="360"/>
      </w:pPr>
    </w:lvl>
    <w:lvl w:ilvl="8" w:tplc="3409001B">
      <w:start w:val="1"/>
      <w:numFmt w:val="lowerRoman"/>
      <w:lvlText w:val="%9."/>
      <w:lvlJc w:val="right"/>
      <w:pPr>
        <w:ind w:left="7920" w:hanging="180"/>
      </w:pPr>
    </w:lvl>
  </w:abstractNum>
  <w:abstractNum w:abstractNumId="28" w15:restartNumberingAfterBreak="0">
    <w:nsid w:val="5A4E2FE7"/>
    <w:multiLevelType w:val="hybridMultilevel"/>
    <w:tmpl w:val="375C239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15:restartNumberingAfterBreak="0">
    <w:nsid w:val="5AD26251"/>
    <w:multiLevelType w:val="hybridMultilevel"/>
    <w:tmpl w:val="C72EDB7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619613D3"/>
    <w:multiLevelType w:val="hybridMultilevel"/>
    <w:tmpl w:val="91E45A4A"/>
    <w:lvl w:ilvl="0" w:tplc="3F7E4A28">
      <w:start w:val="1"/>
      <w:numFmt w:val="lowerLetter"/>
      <w:lvlText w:val="%1."/>
      <w:lvlJc w:val="left"/>
      <w:pPr>
        <w:ind w:left="1440" w:hanging="360"/>
      </w:pPr>
      <w:rPr>
        <w:rFonts w:hint="default"/>
        <w:b w:val="0"/>
        <w:color w:val="000000" w:themeColor="text1"/>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1" w15:restartNumberingAfterBreak="0">
    <w:nsid w:val="65C15A14"/>
    <w:multiLevelType w:val="hybridMultilevel"/>
    <w:tmpl w:val="7C1A7D6A"/>
    <w:lvl w:ilvl="0" w:tplc="55201AA8">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6ECA0F5C"/>
    <w:multiLevelType w:val="hybridMultilevel"/>
    <w:tmpl w:val="F27ACBC6"/>
    <w:lvl w:ilvl="0" w:tplc="55201AA8">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15:restartNumberingAfterBreak="0">
    <w:nsid w:val="6F0A170C"/>
    <w:multiLevelType w:val="hybridMultilevel"/>
    <w:tmpl w:val="10CA7736"/>
    <w:lvl w:ilvl="0" w:tplc="DDAA4A08">
      <w:start w:val="1"/>
      <w:numFmt w:val="lowerLetter"/>
      <w:lvlText w:val="%1."/>
      <w:lvlJc w:val="left"/>
      <w:pPr>
        <w:ind w:left="720" w:hanging="360"/>
      </w:pPr>
      <w:rPr>
        <w:b/>
        <w:i w:val="0"/>
      </w:rPr>
    </w:lvl>
    <w:lvl w:ilvl="1" w:tplc="E4AE922C">
      <w:start w:val="1"/>
      <w:numFmt w:val="lowerLetter"/>
      <w:lvlText w:val="%2."/>
      <w:lvlJc w:val="left"/>
      <w:pPr>
        <w:ind w:left="1440" w:hanging="360"/>
      </w:pPr>
      <w:rPr>
        <w:i/>
      </w:r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34" w15:restartNumberingAfterBreak="0">
    <w:nsid w:val="719954C4"/>
    <w:multiLevelType w:val="hybridMultilevel"/>
    <w:tmpl w:val="6484B0F4"/>
    <w:lvl w:ilvl="0" w:tplc="55201AA8">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73584D17"/>
    <w:multiLevelType w:val="hybridMultilevel"/>
    <w:tmpl w:val="96523BA6"/>
    <w:lvl w:ilvl="0" w:tplc="34090019">
      <w:start w:val="1"/>
      <w:numFmt w:val="low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36" w15:restartNumberingAfterBreak="0">
    <w:nsid w:val="781C2C64"/>
    <w:multiLevelType w:val="hybridMultilevel"/>
    <w:tmpl w:val="10701A90"/>
    <w:lvl w:ilvl="0" w:tplc="6BCA9D1C">
      <w:start w:val="1"/>
      <w:numFmt w:val="lowerLetter"/>
      <w:lvlText w:val="%1."/>
      <w:lvlJc w:val="left"/>
      <w:pPr>
        <w:ind w:left="2160" w:hanging="360"/>
      </w:pPr>
      <w:rPr>
        <w:b w:val="0"/>
      </w:rPr>
    </w:lvl>
    <w:lvl w:ilvl="1" w:tplc="34090019">
      <w:start w:val="1"/>
      <w:numFmt w:val="lowerLetter"/>
      <w:lvlText w:val="%2."/>
      <w:lvlJc w:val="left"/>
      <w:pPr>
        <w:ind w:left="2880" w:hanging="360"/>
      </w:pPr>
    </w:lvl>
    <w:lvl w:ilvl="2" w:tplc="3409001B">
      <w:start w:val="1"/>
      <w:numFmt w:val="lowerRoman"/>
      <w:lvlText w:val="%3."/>
      <w:lvlJc w:val="right"/>
      <w:pPr>
        <w:ind w:left="3600" w:hanging="180"/>
      </w:pPr>
    </w:lvl>
    <w:lvl w:ilvl="3" w:tplc="3409000F">
      <w:start w:val="1"/>
      <w:numFmt w:val="decimal"/>
      <w:lvlText w:val="%4."/>
      <w:lvlJc w:val="left"/>
      <w:pPr>
        <w:ind w:left="4320" w:hanging="360"/>
      </w:pPr>
    </w:lvl>
    <w:lvl w:ilvl="4" w:tplc="34090019">
      <w:start w:val="1"/>
      <w:numFmt w:val="lowerLetter"/>
      <w:lvlText w:val="%5."/>
      <w:lvlJc w:val="left"/>
      <w:pPr>
        <w:ind w:left="5040" w:hanging="360"/>
      </w:pPr>
    </w:lvl>
    <w:lvl w:ilvl="5" w:tplc="3409001B">
      <w:start w:val="1"/>
      <w:numFmt w:val="lowerRoman"/>
      <w:lvlText w:val="%6."/>
      <w:lvlJc w:val="right"/>
      <w:pPr>
        <w:ind w:left="5760" w:hanging="180"/>
      </w:pPr>
    </w:lvl>
    <w:lvl w:ilvl="6" w:tplc="3409000F">
      <w:start w:val="1"/>
      <w:numFmt w:val="decimal"/>
      <w:lvlText w:val="%7."/>
      <w:lvlJc w:val="left"/>
      <w:pPr>
        <w:ind w:left="6480" w:hanging="360"/>
      </w:pPr>
    </w:lvl>
    <w:lvl w:ilvl="7" w:tplc="34090019">
      <w:start w:val="1"/>
      <w:numFmt w:val="lowerLetter"/>
      <w:lvlText w:val="%8."/>
      <w:lvlJc w:val="left"/>
      <w:pPr>
        <w:ind w:left="7200" w:hanging="360"/>
      </w:pPr>
    </w:lvl>
    <w:lvl w:ilvl="8" w:tplc="3409001B">
      <w:start w:val="1"/>
      <w:numFmt w:val="lowerRoman"/>
      <w:lvlText w:val="%9."/>
      <w:lvlJc w:val="right"/>
      <w:pPr>
        <w:ind w:left="7920" w:hanging="180"/>
      </w:pPr>
    </w:lvl>
  </w:abstractNum>
  <w:abstractNum w:abstractNumId="37" w15:restartNumberingAfterBreak="0">
    <w:nsid w:val="7E606B91"/>
    <w:multiLevelType w:val="hybridMultilevel"/>
    <w:tmpl w:val="DF4294F2"/>
    <w:lvl w:ilvl="0" w:tplc="8FD21684">
      <w:start w:val="1"/>
      <w:numFmt w:val="lowerLetter"/>
      <w:lvlText w:val="%1."/>
      <w:lvlJc w:val="left"/>
      <w:pPr>
        <w:ind w:left="2160" w:hanging="360"/>
      </w:pPr>
      <w:rPr>
        <w:i w:val="0"/>
        <w:sz w:val="22"/>
      </w:rPr>
    </w:lvl>
    <w:lvl w:ilvl="1" w:tplc="34090003">
      <w:start w:val="1"/>
      <w:numFmt w:val="bullet"/>
      <w:lvlText w:val="o"/>
      <w:lvlJc w:val="left"/>
      <w:pPr>
        <w:ind w:left="2880" w:hanging="360"/>
      </w:pPr>
      <w:rPr>
        <w:rFonts w:ascii="Courier New" w:hAnsi="Courier New" w:cs="Courier New" w:hint="default"/>
      </w:rPr>
    </w:lvl>
    <w:lvl w:ilvl="2" w:tplc="34090005">
      <w:start w:val="1"/>
      <w:numFmt w:val="bullet"/>
      <w:lvlText w:val=""/>
      <w:lvlJc w:val="left"/>
      <w:pPr>
        <w:ind w:left="3600" w:hanging="360"/>
      </w:pPr>
      <w:rPr>
        <w:rFonts w:ascii="Wingdings" w:hAnsi="Wingdings" w:hint="default"/>
      </w:rPr>
    </w:lvl>
    <w:lvl w:ilvl="3" w:tplc="34090001">
      <w:start w:val="1"/>
      <w:numFmt w:val="bullet"/>
      <w:lvlText w:val=""/>
      <w:lvlJc w:val="left"/>
      <w:pPr>
        <w:ind w:left="4320" w:hanging="360"/>
      </w:pPr>
      <w:rPr>
        <w:rFonts w:ascii="Symbol" w:hAnsi="Symbol" w:hint="default"/>
      </w:rPr>
    </w:lvl>
    <w:lvl w:ilvl="4" w:tplc="34090003">
      <w:start w:val="1"/>
      <w:numFmt w:val="bullet"/>
      <w:lvlText w:val="o"/>
      <w:lvlJc w:val="left"/>
      <w:pPr>
        <w:ind w:left="5040" w:hanging="360"/>
      </w:pPr>
      <w:rPr>
        <w:rFonts w:ascii="Courier New" w:hAnsi="Courier New" w:cs="Courier New" w:hint="default"/>
      </w:rPr>
    </w:lvl>
    <w:lvl w:ilvl="5" w:tplc="34090005">
      <w:start w:val="1"/>
      <w:numFmt w:val="bullet"/>
      <w:lvlText w:val=""/>
      <w:lvlJc w:val="left"/>
      <w:pPr>
        <w:ind w:left="5760" w:hanging="360"/>
      </w:pPr>
      <w:rPr>
        <w:rFonts w:ascii="Wingdings" w:hAnsi="Wingdings" w:hint="default"/>
      </w:rPr>
    </w:lvl>
    <w:lvl w:ilvl="6" w:tplc="34090001">
      <w:start w:val="1"/>
      <w:numFmt w:val="bullet"/>
      <w:lvlText w:val=""/>
      <w:lvlJc w:val="left"/>
      <w:pPr>
        <w:ind w:left="6480" w:hanging="360"/>
      </w:pPr>
      <w:rPr>
        <w:rFonts w:ascii="Symbol" w:hAnsi="Symbol" w:hint="default"/>
      </w:rPr>
    </w:lvl>
    <w:lvl w:ilvl="7" w:tplc="34090003">
      <w:start w:val="1"/>
      <w:numFmt w:val="bullet"/>
      <w:lvlText w:val="o"/>
      <w:lvlJc w:val="left"/>
      <w:pPr>
        <w:ind w:left="7200" w:hanging="360"/>
      </w:pPr>
      <w:rPr>
        <w:rFonts w:ascii="Courier New" w:hAnsi="Courier New" w:cs="Courier New" w:hint="default"/>
      </w:rPr>
    </w:lvl>
    <w:lvl w:ilvl="8" w:tplc="34090005">
      <w:start w:val="1"/>
      <w:numFmt w:val="bullet"/>
      <w:lvlText w:val=""/>
      <w:lvlJc w:val="left"/>
      <w:pPr>
        <w:ind w:left="792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1"/>
    </w:lvlOverride>
    <w:lvlOverride w:ilvl="1"/>
    <w:lvlOverride w:ilvl="2"/>
    <w:lvlOverride w:ilvl="3"/>
    <w:lvlOverride w:ilvl="4"/>
    <w:lvlOverride w:ilvl="5"/>
    <w:lvlOverride w:ilvl="6"/>
    <w:lvlOverride w:ilvl="7"/>
    <w:lvlOverride w:ilvl="8"/>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35"/>
  </w:num>
  <w:num w:numId="15">
    <w:abstractNumId w:val="1"/>
  </w:num>
  <w:num w:numId="16">
    <w:abstractNumId w:val="10"/>
  </w:num>
  <w:num w:numId="17">
    <w:abstractNumId w:val="29"/>
  </w:num>
  <w:num w:numId="18">
    <w:abstractNumId w:val="4"/>
  </w:num>
  <w:num w:numId="19">
    <w:abstractNumId w:val="25"/>
  </w:num>
  <w:num w:numId="20">
    <w:abstractNumId w:val="3"/>
  </w:num>
  <w:num w:numId="21">
    <w:abstractNumId w:val="17"/>
  </w:num>
  <w:num w:numId="22">
    <w:abstractNumId w:val="9"/>
  </w:num>
  <w:num w:numId="23">
    <w:abstractNumId w:val="5"/>
  </w:num>
  <w:num w:numId="24">
    <w:abstractNumId w:val="8"/>
  </w:num>
  <w:num w:numId="25">
    <w:abstractNumId w:val="16"/>
  </w:num>
  <w:num w:numId="26">
    <w:abstractNumId w:val="28"/>
  </w:num>
  <w:num w:numId="27">
    <w:abstractNumId w:val="22"/>
  </w:num>
  <w:num w:numId="28">
    <w:abstractNumId w:val="0"/>
  </w:num>
  <w:num w:numId="29">
    <w:abstractNumId w:val="24"/>
  </w:num>
  <w:num w:numId="30">
    <w:abstractNumId w:val="37"/>
  </w:num>
  <w:num w:numId="31">
    <w:abstractNumId w:val="34"/>
  </w:num>
  <w:num w:numId="32">
    <w:abstractNumId w:val="23"/>
  </w:num>
  <w:num w:numId="33">
    <w:abstractNumId w:val="31"/>
  </w:num>
  <w:num w:numId="34">
    <w:abstractNumId w:val="13"/>
  </w:num>
  <w:num w:numId="35">
    <w:abstractNumId w:val="15"/>
  </w:num>
  <w:num w:numId="36">
    <w:abstractNumId w:val="32"/>
  </w:num>
  <w:num w:numId="37">
    <w:abstractNumId w:val="2"/>
  </w:num>
  <w:num w:numId="38">
    <w:abstractNumId w:val="6"/>
  </w:num>
  <w:num w:numId="39">
    <w:abstractNumId w:val="19"/>
  </w:num>
  <w:num w:numId="40">
    <w:abstractNumId w:val="18"/>
  </w:num>
  <w:num w:numId="41">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VCBLGoAGNkDr/gaO5DN1Q6Fyc45iUnnVbP+9jYMDsHdHo39wnDRHtgHLEbBWvmed/R3Wq0Ue5lLGaYLsIUq6aw==" w:salt="34JTv0HRlzp1aXlfWo6vZA=="/>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AECA174-2CA6-43F4-8DC2-95F031EE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cs="Times New Roman"/>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
    <w:basedOn w:val="Normal"/>
    <w:link w:val="ListParagraphChar"/>
    <w:uiPriority w:val="34"/>
    <w:qFormat/>
    <w:pPr>
      <w:ind w:left="720"/>
      <w:contextualSpacing/>
    </w:p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lang w:val="en-US" w:eastAsia="zh-CN"/>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Times New Roman"/>
      <w:lang w:val="en-US" w:eastAsia="zh-CN"/>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Times New Roman"/>
      <w:lang w:val="en-US" w:eastAsia="zh-CN"/>
    </w:rPr>
  </w:style>
  <w:style w:type="character" w:customStyle="1" w:styleId="ListParagraphChar">
    <w:name w:val="List Paragraph Char"/>
    <w:aliases w:val="Resume Title Char,List Paragraph1 Char"/>
    <w:link w:val="ListParagraph"/>
    <w:uiPriority w:val="34"/>
    <w:qFormat/>
    <w:rPr>
      <w:rFonts w:ascii="Calibri" w:eastAsia="Calibri" w:hAnsi="Calibri" w:cs="Times New Roman"/>
      <w:lang w:val="en-US" w:eastAsia="zh-CN"/>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78371">
      <w:bodyDiv w:val="1"/>
      <w:marLeft w:val="0"/>
      <w:marRight w:val="0"/>
      <w:marTop w:val="0"/>
      <w:marBottom w:val="0"/>
      <w:divBdr>
        <w:top w:val="none" w:sz="0" w:space="0" w:color="auto"/>
        <w:left w:val="none" w:sz="0" w:space="0" w:color="auto"/>
        <w:bottom w:val="none" w:sz="0" w:space="0" w:color="auto"/>
        <w:right w:val="none" w:sz="0" w:space="0" w:color="auto"/>
      </w:divBdr>
    </w:div>
    <w:div w:id="101533503">
      <w:bodyDiv w:val="1"/>
      <w:marLeft w:val="0"/>
      <w:marRight w:val="0"/>
      <w:marTop w:val="0"/>
      <w:marBottom w:val="0"/>
      <w:divBdr>
        <w:top w:val="none" w:sz="0" w:space="0" w:color="auto"/>
        <w:left w:val="none" w:sz="0" w:space="0" w:color="auto"/>
        <w:bottom w:val="none" w:sz="0" w:space="0" w:color="auto"/>
        <w:right w:val="none" w:sz="0" w:space="0" w:color="auto"/>
      </w:divBdr>
    </w:div>
    <w:div w:id="152650182">
      <w:bodyDiv w:val="1"/>
      <w:marLeft w:val="0"/>
      <w:marRight w:val="0"/>
      <w:marTop w:val="0"/>
      <w:marBottom w:val="0"/>
      <w:divBdr>
        <w:top w:val="none" w:sz="0" w:space="0" w:color="auto"/>
        <w:left w:val="none" w:sz="0" w:space="0" w:color="auto"/>
        <w:bottom w:val="none" w:sz="0" w:space="0" w:color="auto"/>
        <w:right w:val="none" w:sz="0" w:space="0" w:color="auto"/>
      </w:divBdr>
    </w:div>
    <w:div w:id="222644418">
      <w:bodyDiv w:val="1"/>
      <w:marLeft w:val="0"/>
      <w:marRight w:val="0"/>
      <w:marTop w:val="0"/>
      <w:marBottom w:val="0"/>
      <w:divBdr>
        <w:top w:val="none" w:sz="0" w:space="0" w:color="auto"/>
        <w:left w:val="none" w:sz="0" w:space="0" w:color="auto"/>
        <w:bottom w:val="none" w:sz="0" w:space="0" w:color="auto"/>
        <w:right w:val="none" w:sz="0" w:space="0" w:color="auto"/>
      </w:divBdr>
    </w:div>
    <w:div w:id="265502081">
      <w:bodyDiv w:val="1"/>
      <w:marLeft w:val="0"/>
      <w:marRight w:val="0"/>
      <w:marTop w:val="0"/>
      <w:marBottom w:val="0"/>
      <w:divBdr>
        <w:top w:val="none" w:sz="0" w:space="0" w:color="auto"/>
        <w:left w:val="none" w:sz="0" w:space="0" w:color="auto"/>
        <w:bottom w:val="none" w:sz="0" w:space="0" w:color="auto"/>
        <w:right w:val="none" w:sz="0" w:space="0" w:color="auto"/>
      </w:divBdr>
    </w:div>
    <w:div w:id="303699302">
      <w:bodyDiv w:val="1"/>
      <w:marLeft w:val="0"/>
      <w:marRight w:val="0"/>
      <w:marTop w:val="0"/>
      <w:marBottom w:val="0"/>
      <w:divBdr>
        <w:top w:val="none" w:sz="0" w:space="0" w:color="auto"/>
        <w:left w:val="none" w:sz="0" w:space="0" w:color="auto"/>
        <w:bottom w:val="none" w:sz="0" w:space="0" w:color="auto"/>
        <w:right w:val="none" w:sz="0" w:space="0" w:color="auto"/>
      </w:divBdr>
    </w:div>
    <w:div w:id="353263381">
      <w:bodyDiv w:val="1"/>
      <w:marLeft w:val="0"/>
      <w:marRight w:val="0"/>
      <w:marTop w:val="0"/>
      <w:marBottom w:val="0"/>
      <w:divBdr>
        <w:top w:val="none" w:sz="0" w:space="0" w:color="auto"/>
        <w:left w:val="none" w:sz="0" w:space="0" w:color="auto"/>
        <w:bottom w:val="none" w:sz="0" w:space="0" w:color="auto"/>
        <w:right w:val="none" w:sz="0" w:space="0" w:color="auto"/>
      </w:divBdr>
    </w:div>
    <w:div w:id="378479595">
      <w:bodyDiv w:val="1"/>
      <w:marLeft w:val="0"/>
      <w:marRight w:val="0"/>
      <w:marTop w:val="0"/>
      <w:marBottom w:val="0"/>
      <w:divBdr>
        <w:top w:val="none" w:sz="0" w:space="0" w:color="auto"/>
        <w:left w:val="none" w:sz="0" w:space="0" w:color="auto"/>
        <w:bottom w:val="none" w:sz="0" w:space="0" w:color="auto"/>
        <w:right w:val="none" w:sz="0" w:space="0" w:color="auto"/>
      </w:divBdr>
    </w:div>
    <w:div w:id="399640751">
      <w:bodyDiv w:val="1"/>
      <w:marLeft w:val="0"/>
      <w:marRight w:val="0"/>
      <w:marTop w:val="0"/>
      <w:marBottom w:val="0"/>
      <w:divBdr>
        <w:top w:val="none" w:sz="0" w:space="0" w:color="auto"/>
        <w:left w:val="none" w:sz="0" w:space="0" w:color="auto"/>
        <w:bottom w:val="none" w:sz="0" w:space="0" w:color="auto"/>
        <w:right w:val="none" w:sz="0" w:space="0" w:color="auto"/>
      </w:divBdr>
    </w:div>
    <w:div w:id="509220504">
      <w:bodyDiv w:val="1"/>
      <w:marLeft w:val="0"/>
      <w:marRight w:val="0"/>
      <w:marTop w:val="0"/>
      <w:marBottom w:val="0"/>
      <w:divBdr>
        <w:top w:val="none" w:sz="0" w:space="0" w:color="auto"/>
        <w:left w:val="none" w:sz="0" w:space="0" w:color="auto"/>
        <w:bottom w:val="none" w:sz="0" w:space="0" w:color="auto"/>
        <w:right w:val="none" w:sz="0" w:space="0" w:color="auto"/>
      </w:divBdr>
    </w:div>
    <w:div w:id="569848404">
      <w:bodyDiv w:val="1"/>
      <w:marLeft w:val="0"/>
      <w:marRight w:val="0"/>
      <w:marTop w:val="0"/>
      <w:marBottom w:val="0"/>
      <w:divBdr>
        <w:top w:val="none" w:sz="0" w:space="0" w:color="auto"/>
        <w:left w:val="none" w:sz="0" w:space="0" w:color="auto"/>
        <w:bottom w:val="none" w:sz="0" w:space="0" w:color="auto"/>
        <w:right w:val="none" w:sz="0" w:space="0" w:color="auto"/>
      </w:divBdr>
    </w:div>
    <w:div w:id="577634839">
      <w:bodyDiv w:val="1"/>
      <w:marLeft w:val="0"/>
      <w:marRight w:val="0"/>
      <w:marTop w:val="0"/>
      <w:marBottom w:val="0"/>
      <w:divBdr>
        <w:top w:val="none" w:sz="0" w:space="0" w:color="auto"/>
        <w:left w:val="none" w:sz="0" w:space="0" w:color="auto"/>
        <w:bottom w:val="none" w:sz="0" w:space="0" w:color="auto"/>
        <w:right w:val="none" w:sz="0" w:space="0" w:color="auto"/>
      </w:divBdr>
    </w:div>
    <w:div w:id="586114845">
      <w:bodyDiv w:val="1"/>
      <w:marLeft w:val="0"/>
      <w:marRight w:val="0"/>
      <w:marTop w:val="0"/>
      <w:marBottom w:val="0"/>
      <w:divBdr>
        <w:top w:val="none" w:sz="0" w:space="0" w:color="auto"/>
        <w:left w:val="none" w:sz="0" w:space="0" w:color="auto"/>
        <w:bottom w:val="none" w:sz="0" w:space="0" w:color="auto"/>
        <w:right w:val="none" w:sz="0" w:space="0" w:color="auto"/>
      </w:divBdr>
    </w:div>
    <w:div w:id="720057975">
      <w:bodyDiv w:val="1"/>
      <w:marLeft w:val="0"/>
      <w:marRight w:val="0"/>
      <w:marTop w:val="0"/>
      <w:marBottom w:val="0"/>
      <w:divBdr>
        <w:top w:val="none" w:sz="0" w:space="0" w:color="auto"/>
        <w:left w:val="none" w:sz="0" w:space="0" w:color="auto"/>
        <w:bottom w:val="none" w:sz="0" w:space="0" w:color="auto"/>
        <w:right w:val="none" w:sz="0" w:space="0" w:color="auto"/>
      </w:divBdr>
    </w:div>
    <w:div w:id="721442542">
      <w:bodyDiv w:val="1"/>
      <w:marLeft w:val="0"/>
      <w:marRight w:val="0"/>
      <w:marTop w:val="0"/>
      <w:marBottom w:val="0"/>
      <w:divBdr>
        <w:top w:val="none" w:sz="0" w:space="0" w:color="auto"/>
        <w:left w:val="none" w:sz="0" w:space="0" w:color="auto"/>
        <w:bottom w:val="none" w:sz="0" w:space="0" w:color="auto"/>
        <w:right w:val="none" w:sz="0" w:space="0" w:color="auto"/>
      </w:divBdr>
    </w:div>
    <w:div w:id="759062915">
      <w:bodyDiv w:val="1"/>
      <w:marLeft w:val="0"/>
      <w:marRight w:val="0"/>
      <w:marTop w:val="0"/>
      <w:marBottom w:val="0"/>
      <w:divBdr>
        <w:top w:val="none" w:sz="0" w:space="0" w:color="auto"/>
        <w:left w:val="none" w:sz="0" w:space="0" w:color="auto"/>
        <w:bottom w:val="none" w:sz="0" w:space="0" w:color="auto"/>
        <w:right w:val="none" w:sz="0" w:space="0" w:color="auto"/>
      </w:divBdr>
    </w:div>
    <w:div w:id="787553824">
      <w:bodyDiv w:val="1"/>
      <w:marLeft w:val="0"/>
      <w:marRight w:val="0"/>
      <w:marTop w:val="0"/>
      <w:marBottom w:val="0"/>
      <w:divBdr>
        <w:top w:val="none" w:sz="0" w:space="0" w:color="auto"/>
        <w:left w:val="none" w:sz="0" w:space="0" w:color="auto"/>
        <w:bottom w:val="none" w:sz="0" w:space="0" w:color="auto"/>
        <w:right w:val="none" w:sz="0" w:space="0" w:color="auto"/>
      </w:divBdr>
    </w:div>
    <w:div w:id="881788238">
      <w:bodyDiv w:val="1"/>
      <w:marLeft w:val="0"/>
      <w:marRight w:val="0"/>
      <w:marTop w:val="0"/>
      <w:marBottom w:val="0"/>
      <w:divBdr>
        <w:top w:val="none" w:sz="0" w:space="0" w:color="auto"/>
        <w:left w:val="none" w:sz="0" w:space="0" w:color="auto"/>
        <w:bottom w:val="none" w:sz="0" w:space="0" w:color="auto"/>
        <w:right w:val="none" w:sz="0" w:space="0" w:color="auto"/>
      </w:divBdr>
    </w:div>
    <w:div w:id="1113596369">
      <w:bodyDiv w:val="1"/>
      <w:marLeft w:val="0"/>
      <w:marRight w:val="0"/>
      <w:marTop w:val="0"/>
      <w:marBottom w:val="0"/>
      <w:divBdr>
        <w:top w:val="none" w:sz="0" w:space="0" w:color="auto"/>
        <w:left w:val="none" w:sz="0" w:space="0" w:color="auto"/>
        <w:bottom w:val="none" w:sz="0" w:space="0" w:color="auto"/>
        <w:right w:val="none" w:sz="0" w:space="0" w:color="auto"/>
      </w:divBdr>
    </w:div>
    <w:div w:id="1163619313">
      <w:bodyDiv w:val="1"/>
      <w:marLeft w:val="0"/>
      <w:marRight w:val="0"/>
      <w:marTop w:val="0"/>
      <w:marBottom w:val="0"/>
      <w:divBdr>
        <w:top w:val="none" w:sz="0" w:space="0" w:color="auto"/>
        <w:left w:val="none" w:sz="0" w:space="0" w:color="auto"/>
        <w:bottom w:val="none" w:sz="0" w:space="0" w:color="auto"/>
        <w:right w:val="none" w:sz="0" w:space="0" w:color="auto"/>
      </w:divBdr>
    </w:div>
    <w:div w:id="1215459215">
      <w:bodyDiv w:val="1"/>
      <w:marLeft w:val="0"/>
      <w:marRight w:val="0"/>
      <w:marTop w:val="0"/>
      <w:marBottom w:val="0"/>
      <w:divBdr>
        <w:top w:val="none" w:sz="0" w:space="0" w:color="auto"/>
        <w:left w:val="none" w:sz="0" w:space="0" w:color="auto"/>
        <w:bottom w:val="none" w:sz="0" w:space="0" w:color="auto"/>
        <w:right w:val="none" w:sz="0" w:space="0" w:color="auto"/>
      </w:divBdr>
    </w:div>
    <w:div w:id="1247574406">
      <w:bodyDiv w:val="1"/>
      <w:marLeft w:val="0"/>
      <w:marRight w:val="0"/>
      <w:marTop w:val="0"/>
      <w:marBottom w:val="0"/>
      <w:divBdr>
        <w:top w:val="none" w:sz="0" w:space="0" w:color="auto"/>
        <w:left w:val="none" w:sz="0" w:space="0" w:color="auto"/>
        <w:bottom w:val="none" w:sz="0" w:space="0" w:color="auto"/>
        <w:right w:val="none" w:sz="0" w:space="0" w:color="auto"/>
      </w:divBdr>
    </w:div>
    <w:div w:id="1273126356">
      <w:bodyDiv w:val="1"/>
      <w:marLeft w:val="0"/>
      <w:marRight w:val="0"/>
      <w:marTop w:val="0"/>
      <w:marBottom w:val="0"/>
      <w:divBdr>
        <w:top w:val="none" w:sz="0" w:space="0" w:color="auto"/>
        <w:left w:val="none" w:sz="0" w:space="0" w:color="auto"/>
        <w:bottom w:val="none" w:sz="0" w:space="0" w:color="auto"/>
        <w:right w:val="none" w:sz="0" w:space="0" w:color="auto"/>
      </w:divBdr>
    </w:div>
    <w:div w:id="1443181417">
      <w:bodyDiv w:val="1"/>
      <w:marLeft w:val="0"/>
      <w:marRight w:val="0"/>
      <w:marTop w:val="0"/>
      <w:marBottom w:val="0"/>
      <w:divBdr>
        <w:top w:val="none" w:sz="0" w:space="0" w:color="auto"/>
        <w:left w:val="none" w:sz="0" w:space="0" w:color="auto"/>
        <w:bottom w:val="none" w:sz="0" w:space="0" w:color="auto"/>
        <w:right w:val="none" w:sz="0" w:space="0" w:color="auto"/>
      </w:divBdr>
    </w:div>
    <w:div w:id="1451363300">
      <w:bodyDiv w:val="1"/>
      <w:marLeft w:val="0"/>
      <w:marRight w:val="0"/>
      <w:marTop w:val="0"/>
      <w:marBottom w:val="0"/>
      <w:divBdr>
        <w:top w:val="none" w:sz="0" w:space="0" w:color="auto"/>
        <w:left w:val="none" w:sz="0" w:space="0" w:color="auto"/>
        <w:bottom w:val="none" w:sz="0" w:space="0" w:color="auto"/>
        <w:right w:val="none" w:sz="0" w:space="0" w:color="auto"/>
      </w:divBdr>
    </w:div>
    <w:div w:id="1496654166">
      <w:bodyDiv w:val="1"/>
      <w:marLeft w:val="0"/>
      <w:marRight w:val="0"/>
      <w:marTop w:val="0"/>
      <w:marBottom w:val="0"/>
      <w:divBdr>
        <w:top w:val="none" w:sz="0" w:space="0" w:color="auto"/>
        <w:left w:val="none" w:sz="0" w:space="0" w:color="auto"/>
        <w:bottom w:val="none" w:sz="0" w:space="0" w:color="auto"/>
        <w:right w:val="none" w:sz="0" w:space="0" w:color="auto"/>
      </w:divBdr>
    </w:div>
    <w:div w:id="1560824505">
      <w:bodyDiv w:val="1"/>
      <w:marLeft w:val="0"/>
      <w:marRight w:val="0"/>
      <w:marTop w:val="0"/>
      <w:marBottom w:val="0"/>
      <w:divBdr>
        <w:top w:val="none" w:sz="0" w:space="0" w:color="auto"/>
        <w:left w:val="none" w:sz="0" w:space="0" w:color="auto"/>
        <w:bottom w:val="none" w:sz="0" w:space="0" w:color="auto"/>
        <w:right w:val="none" w:sz="0" w:space="0" w:color="auto"/>
      </w:divBdr>
    </w:div>
    <w:div w:id="1600597415">
      <w:bodyDiv w:val="1"/>
      <w:marLeft w:val="0"/>
      <w:marRight w:val="0"/>
      <w:marTop w:val="0"/>
      <w:marBottom w:val="0"/>
      <w:divBdr>
        <w:top w:val="none" w:sz="0" w:space="0" w:color="auto"/>
        <w:left w:val="none" w:sz="0" w:space="0" w:color="auto"/>
        <w:bottom w:val="none" w:sz="0" w:space="0" w:color="auto"/>
        <w:right w:val="none" w:sz="0" w:space="0" w:color="auto"/>
      </w:divBdr>
    </w:div>
    <w:div w:id="1656299892">
      <w:bodyDiv w:val="1"/>
      <w:marLeft w:val="0"/>
      <w:marRight w:val="0"/>
      <w:marTop w:val="0"/>
      <w:marBottom w:val="0"/>
      <w:divBdr>
        <w:top w:val="none" w:sz="0" w:space="0" w:color="auto"/>
        <w:left w:val="none" w:sz="0" w:space="0" w:color="auto"/>
        <w:bottom w:val="none" w:sz="0" w:space="0" w:color="auto"/>
        <w:right w:val="none" w:sz="0" w:space="0" w:color="auto"/>
      </w:divBdr>
    </w:div>
    <w:div w:id="1659377742">
      <w:bodyDiv w:val="1"/>
      <w:marLeft w:val="0"/>
      <w:marRight w:val="0"/>
      <w:marTop w:val="0"/>
      <w:marBottom w:val="0"/>
      <w:divBdr>
        <w:top w:val="none" w:sz="0" w:space="0" w:color="auto"/>
        <w:left w:val="none" w:sz="0" w:space="0" w:color="auto"/>
        <w:bottom w:val="none" w:sz="0" w:space="0" w:color="auto"/>
        <w:right w:val="none" w:sz="0" w:space="0" w:color="auto"/>
      </w:divBdr>
    </w:div>
    <w:div w:id="1756048991">
      <w:bodyDiv w:val="1"/>
      <w:marLeft w:val="0"/>
      <w:marRight w:val="0"/>
      <w:marTop w:val="0"/>
      <w:marBottom w:val="0"/>
      <w:divBdr>
        <w:top w:val="none" w:sz="0" w:space="0" w:color="auto"/>
        <w:left w:val="none" w:sz="0" w:space="0" w:color="auto"/>
        <w:bottom w:val="none" w:sz="0" w:space="0" w:color="auto"/>
        <w:right w:val="none" w:sz="0" w:space="0" w:color="auto"/>
      </w:divBdr>
    </w:div>
    <w:div w:id="1782414274">
      <w:bodyDiv w:val="1"/>
      <w:marLeft w:val="0"/>
      <w:marRight w:val="0"/>
      <w:marTop w:val="0"/>
      <w:marBottom w:val="0"/>
      <w:divBdr>
        <w:top w:val="none" w:sz="0" w:space="0" w:color="auto"/>
        <w:left w:val="none" w:sz="0" w:space="0" w:color="auto"/>
        <w:bottom w:val="none" w:sz="0" w:space="0" w:color="auto"/>
        <w:right w:val="none" w:sz="0" w:space="0" w:color="auto"/>
      </w:divBdr>
    </w:div>
    <w:div w:id="1788040013">
      <w:bodyDiv w:val="1"/>
      <w:marLeft w:val="0"/>
      <w:marRight w:val="0"/>
      <w:marTop w:val="0"/>
      <w:marBottom w:val="0"/>
      <w:divBdr>
        <w:top w:val="none" w:sz="0" w:space="0" w:color="auto"/>
        <w:left w:val="none" w:sz="0" w:space="0" w:color="auto"/>
        <w:bottom w:val="none" w:sz="0" w:space="0" w:color="auto"/>
        <w:right w:val="none" w:sz="0" w:space="0" w:color="auto"/>
      </w:divBdr>
    </w:div>
    <w:div w:id="1886873181">
      <w:bodyDiv w:val="1"/>
      <w:marLeft w:val="0"/>
      <w:marRight w:val="0"/>
      <w:marTop w:val="0"/>
      <w:marBottom w:val="0"/>
      <w:divBdr>
        <w:top w:val="none" w:sz="0" w:space="0" w:color="auto"/>
        <w:left w:val="none" w:sz="0" w:space="0" w:color="auto"/>
        <w:bottom w:val="none" w:sz="0" w:space="0" w:color="auto"/>
        <w:right w:val="none" w:sz="0" w:space="0" w:color="auto"/>
      </w:divBdr>
    </w:div>
    <w:div w:id="190251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36080-39E6-4309-87F2-EEE4B949F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2572</Words>
  <Characters>14667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Status of Implementation of Prior Year's Audit Recommendations</vt:lpstr>
    </vt:vector>
  </TitlesOfParts>
  <Company/>
  <LinksUpToDate>false</LinksUpToDate>
  <CharactersWithSpaces>17205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of Implementation of Prior Year's Audit Recommendations</dc:title>
  <dc:creator>COA - Philippine Charity Sweepstakes Office</dc:creator>
  <cp:lastModifiedBy>Ben A. Lazo, Jr.</cp:lastModifiedBy>
  <cp:revision>13</cp:revision>
  <cp:lastPrinted>2022-07-19T08:51:00Z</cp:lastPrinted>
  <dcterms:created xsi:type="dcterms:W3CDTF">2022-07-09T12:38:00Z</dcterms:created>
  <dcterms:modified xsi:type="dcterms:W3CDTF">2022-07-21T01:43:00Z</dcterms:modified>
</cp:coreProperties>
</file>